
<file path=[Content_Types].xml><?xml version="1.0" encoding="utf-8"?>
<Types xmlns="http://schemas.openxmlformats.org/package/2006/content-types">
  <Default Extension="png" ContentType="image/png"/>
  <Default Extension="wdp" ContentType="image/vnd.ms-photo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364626">
      <w:pPr>
        <w:ind w:left="284"/>
        <w:rPr>
          <w:rFonts w:eastAsia="Calibri"/>
          <w:sz w:val="22"/>
          <w:szCs w:val="22"/>
        </w:rPr>
      </w:pPr>
      <w:bookmarkStart w:id="0" w:name="_GoBack"/>
      <w:bookmarkEnd w:id="0"/>
    </w:p>
    <w:tbl>
      <w:tblPr>
        <w:tblStyle w:val="12"/>
        <w:tblW w:w="12906" w:type="dxa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2"/>
        <w:gridCol w:w="817"/>
        <w:gridCol w:w="1276"/>
        <w:gridCol w:w="1098"/>
        <w:gridCol w:w="602"/>
        <w:gridCol w:w="1841"/>
        <w:gridCol w:w="283"/>
        <w:gridCol w:w="550"/>
        <w:gridCol w:w="16"/>
        <w:gridCol w:w="1137"/>
        <w:gridCol w:w="296"/>
        <w:gridCol w:w="850"/>
        <w:gridCol w:w="709"/>
        <w:gridCol w:w="1418"/>
        <w:gridCol w:w="141"/>
        <w:gridCol w:w="1140"/>
      </w:tblGrid>
      <w:tr w14:paraId="097464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9" w:type="dxa"/>
            <w:gridSpan w:val="2"/>
            <w:shd w:val="clear" w:color="auto" w:fill="DAEEF3"/>
            <w:vAlign w:val="center"/>
          </w:tcPr>
          <w:p w14:paraId="17F40198">
            <w:pPr>
              <w:jc w:val="center"/>
              <w:rPr>
                <w:rFonts w:eastAsia="Calibri"/>
                <w:b/>
              </w:rPr>
            </w:pPr>
            <w:r>
              <w:rPr>
                <w:rFonts w:ascii="Candara" w:hAnsi="Candara" w:cs="Arial"/>
              </w:rPr>
              <w:drawing>
                <wp:inline distT="0" distB="0" distL="0" distR="0">
                  <wp:extent cx="514985" cy="558800"/>
                  <wp:effectExtent l="0" t="0" r="0" b="0"/>
                  <wp:docPr id="1120259678" name="Picture 1120259678" descr="Description: D:\1. Badan Penjaminan Mutu UBM Gorontalo\LOGO UBMG transpara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0259678" name="Picture 1120259678" descr="Description: D:\1. Badan Penjaminan Mutu UBM Gorontalo\LOGO UBMG transpara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520744" cy="564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76" w:type="dxa"/>
            <w:gridSpan w:val="12"/>
            <w:shd w:val="clear" w:color="auto" w:fill="DAEEF3"/>
          </w:tcPr>
          <w:p w14:paraId="5C01B483">
            <w:pPr>
              <w:jc w:val="center"/>
              <w:rPr>
                <w:rFonts w:ascii="Candara" w:hAnsi="Candara"/>
                <w:b/>
              </w:rPr>
            </w:pPr>
            <w:r>
              <w:rPr>
                <w:rFonts w:ascii="Candara" w:hAnsi="Candara"/>
                <w:b/>
              </w:rPr>
              <w:t>UNIVERSITAS BINA MANDIRI GORONTALO</w:t>
            </w:r>
          </w:p>
          <w:p w14:paraId="6F6B1CDF">
            <w:pPr>
              <w:jc w:val="center"/>
              <w:rPr>
                <w:rFonts w:ascii="Candara" w:hAnsi="Candara"/>
                <w:b/>
                <w:sz w:val="22"/>
                <w:szCs w:val="14"/>
              </w:rPr>
            </w:pPr>
            <w:r>
              <w:rPr>
                <w:rFonts w:ascii="Candara" w:hAnsi="Candara"/>
                <w:b/>
                <w:sz w:val="22"/>
                <w:szCs w:val="14"/>
              </w:rPr>
              <w:t xml:space="preserve">FAKULTAS SAINS TEKNOLOGI DAN ILMU KESEHATAN </w:t>
            </w:r>
          </w:p>
          <w:p w14:paraId="6F40BBDE">
            <w:pPr>
              <w:jc w:val="center"/>
              <w:rPr>
                <w:rFonts w:eastAsia="Cambria"/>
                <w:b/>
                <w:lang w:val="sv-SE"/>
              </w:rPr>
            </w:pPr>
            <w:r>
              <w:rPr>
                <w:rFonts w:ascii="Candara" w:hAnsi="Candara"/>
                <w:b/>
                <w:sz w:val="26"/>
                <w:szCs w:val="26"/>
              </w:rPr>
              <w:t xml:space="preserve">PROGRAM STUDI S-1  KESELAMATAN DAN KESEHATAN KERJA </w:t>
            </w:r>
          </w:p>
        </w:tc>
        <w:tc>
          <w:tcPr>
            <w:tcW w:w="1281" w:type="dxa"/>
            <w:gridSpan w:val="2"/>
            <w:shd w:val="clear" w:color="auto" w:fill="DAEEF3"/>
          </w:tcPr>
          <w:p w14:paraId="5B5D0D4A">
            <w:pPr>
              <w:jc w:val="center"/>
              <w:rPr>
                <w:rFonts w:eastAsia="Cambria"/>
                <w:b/>
              </w:rPr>
            </w:pPr>
            <w:r>
              <w:rPr>
                <w:rFonts w:eastAsia="Cambria"/>
                <w:b/>
              </w:rPr>
              <w:t>Kode Dokumen</w:t>
            </w:r>
          </w:p>
        </w:tc>
      </w:tr>
      <w:tr w14:paraId="41491D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6" w:type="dxa"/>
            <w:gridSpan w:val="16"/>
            <w:shd w:val="clear" w:color="auto" w:fill="DAEEF3"/>
          </w:tcPr>
          <w:p w14:paraId="60C817B5">
            <w:pPr>
              <w:jc w:val="center"/>
              <w:rPr>
                <w:rFonts w:eastAsia="Cambria"/>
                <w:b/>
              </w:rPr>
            </w:pPr>
            <w:r>
              <w:rPr>
                <w:rFonts w:eastAsia="Cambria"/>
                <w:b/>
              </w:rPr>
              <w:t>RENCANA PEMBELAJARAN SEMESTER</w:t>
            </w:r>
          </w:p>
        </w:tc>
      </w:tr>
      <w:tr w14:paraId="5D5023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3" w:type="dxa"/>
            <w:gridSpan w:val="4"/>
            <w:shd w:val="clear" w:color="auto" w:fill="E7E6E6"/>
          </w:tcPr>
          <w:p w14:paraId="03156132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MATA KULIAH (MK)</w:t>
            </w:r>
          </w:p>
        </w:tc>
        <w:tc>
          <w:tcPr>
            <w:tcW w:w="2443" w:type="dxa"/>
            <w:gridSpan w:val="2"/>
            <w:shd w:val="clear" w:color="auto" w:fill="E7E6E6"/>
          </w:tcPr>
          <w:p w14:paraId="175EF76F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KODE</w:t>
            </w:r>
          </w:p>
        </w:tc>
        <w:tc>
          <w:tcPr>
            <w:tcW w:w="2282" w:type="dxa"/>
            <w:gridSpan w:val="5"/>
            <w:shd w:val="clear" w:color="auto" w:fill="E7E6E6"/>
          </w:tcPr>
          <w:p w14:paraId="7C961F0F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Rumpun MK</w:t>
            </w:r>
          </w:p>
        </w:tc>
        <w:tc>
          <w:tcPr>
            <w:tcW w:w="1559" w:type="dxa"/>
            <w:gridSpan w:val="2"/>
            <w:shd w:val="clear" w:color="auto" w:fill="E7E6E6"/>
          </w:tcPr>
          <w:p w14:paraId="73800C88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BOBOT (sks)</w:t>
            </w:r>
          </w:p>
        </w:tc>
        <w:tc>
          <w:tcPr>
            <w:tcW w:w="1418" w:type="dxa"/>
            <w:shd w:val="clear" w:color="auto" w:fill="E7E6E6"/>
          </w:tcPr>
          <w:p w14:paraId="0B90E75B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SEMESTER</w:t>
            </w:r>
          </w:p>
        </w:tc>
        <w:tc>
          <w:tcPr>
            <w:tcW w:w="1281" w:type="dxa"/>
            <w:gridSpan w:val="2"/>
            <w:shd w:val="clear" w:color="auto" w:fill="E7E6E6"/>
          </w:tcPr>
          <w:p w14:paraId="5BD5F6DD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TglPenyusunan</w:t>
            </w:r>
          </w:p>
        </w:tc>
      </w:tr>
      <w:tr w14:paraId="7B43B1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3" w:type="dxa"/>
            <w:gridSpan w:val="4"/>
          </w:tcPr>
          <w:p w14:paraId="1702CD66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KIMIA DAN FISIKA DALAM K3</w:t>
            </w:r>
          </w:p>
        </w:tc>
        <w:tc>
          <w:tcPr>
            <w:tcW w:w="2443" w:type="dxa"/>
            <w:gridSpan w:val="2"/>
          </w:tcPr>
          <w:p w14:paraId="7FC5AED5">
            <w:pPr>
              <w:rPr>
                <w:rFonts w:eastAsia="Calibri"/>
              </w:rPr>
            </w:pPr>
            <w:r>
              <w:rPr>
                <w:rFonts w:eastAsia="Calibri"/>
              </w:rPr>
              <w:t>23253303</w:t>
            </w:r>
          </w:p>
        </w:tc>
        <w:tc>
          <w:tcPr>
            <w:tcW w:w="2282" w:type="dxa"/>
            <w:gridSpan w:val="5"/>
          </w:tcPr>
          <w:p w14:paraId="47D57F46">
            <w:pPr>
              <w:rPr>
                <w:rFonts w:eastAsia="Calibri"/>
              </w:rPr>
            </w:pPr>
          </w:p>
        </w:tc>
        <w:tc>
          <w:tcPr>
            <w:tcW w:w="850" w:type="dxa"/>
          </w:tcPr>
          <w:p w14:paraId="367BDC65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T=2</w:t>
            </w:r>
          </w:p>
        </w:tc>
        <w:tc>
          <w:tcPr>
            <w:tcW w:w="709" w:type="dxa"/>
          </w:tcPr>
          <w:p w14:paraId="3CE56376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P=1</w:t>
            </w:r>
          </w:p>
        </w:tc>
        <w:tc>
          <w:tcPr>
            <w:tcW w:w="1418" w:type="dxa"/>
          </w:tcPr>
          <w:p w14:paraId="6E2D0AA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281" w:type="dxa"/>
            <w:gridSpan w:val="2"/>
          </w:tcPr>
          <w:p w14:paraId="7B3F0AEC">
            <w:pPr>
              <w:rPr>
                <w:rFonts w:eastAsia="Calibri"/>
              </w:rPr>
            </w:pPr>
            <w:r>
              <w:rPr>
                <w:rFonts w:eastAsia="Calibri"/>
              </w:rPr>
              <w:t>29 OKTOBER 2025</w:t>
            </w:r>
          </w:p>
        </w:tc>
      </w:tr>
      <w:tr w14:paraId="157B8D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3" w:type="dxa"/>
            <w:gridSpan w:val="4"/>
            <w:vMerge w:val="restart"/>
          </w:tcPr>
          <w:p w14:paraId="3F7A8F11">
            <w:pPr>
              <w:rPr>
                <w:rFonts w:eastAsia="Calibri"/>
                <w:b/>
              </w:rPr>
            </w:pPr>
          </w:p>
        </w:tc>
        <w:tc>
          <w:tcPr>
            <w:tcW w:w="3292" w:type="dxa"/>
            <w:gridSpan w:val="5"/>
            <w:shd w:val="clear" w:color="auto" w:fill="E7E6E6"/>
          </w:tcPr>
          <w:p w14:paraId="5709892B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Pengembang RPS</w:t>
            </w:r>
          </w:p>
        </w:tc>
        <w:tc>
          <w:tcPr>
            <w:tcW w:w="2992" w:type="dxa"/>
            <w:gridSpan w:val="4"/>
            <w:shd w:val="clear" w:color="auto" w:fill="E7E6E6"/>
          </w:tcPr>
          <w:p w14:paraId="4DFB7F34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Koordinator RMK</w:t>
            </w:r>
          </w:p>
        </w:tc>
        <w:tc>
          <w:tcPr>
            <w:tcW w:w="2699" w:type="dxa"/>
            <w:gridSpan w:val="3"/>
            <w:shd w:val="clear" w:color="auto" w:fill="E7E6E6"/>
          </w:tcPr>
          <w:p w14:paraId="2009EB53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Ketua PRODI</w:t>
            </w:r>
          </w:p>
        </w:tc>
      </w:tr>
      <w:tr w14:paraId="1048BF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3923" w:type="dxa"/>
            <w:gridSpan w:val="4"/>
            <w:vMerge w:val="continue"/>
          </w:tcPr>
          <w:p w14:paraId="424CBB0C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eastAsia="Calibri"/>
                <w:b/>
              </w:rPr>
            </w:pPr>
          </w:p>
        </w:tc>
        <w:tc>
          <w:tcPr>
            <w:tcW w:w="3292" w:type="dxa"/>
            <w:gridSpan w:val="5"/>
            <w:tcBorders>
              <w:bottom w:val="single" w:color="000000" w:sz="4" w:space="0"/>
            </w:tcBorders>
          </w:tcPr>
          <w:p w14:paraId="7012BA9B">
            <w:pPr>
              <w:jc w:val="center"/>
              <w:rPr>
                <w:rFonts w:eastAsia="Calibri"/>
                <w:b/>
                <w:bCs/>
              </w:rPr>
            </w:pPr>
          </w:p>
          <w:p w14:paraId="150699B3">
            <w:pPr>
              <w:jc w:val="center"/>
              <w:rPr>
                <w:rFonts w:eastAsia="Calibri"/>
                <w:b/>
                <w:bCs/>
              </w:rPr>
            </w:pPr>
            <w: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328930</wp:posOffset>
                  </wp:positionH>
                  <wp:positionV relativeFrom="paragraph">
                    <wp:posOffset>44450</wp:posOffset>
                  </wp:positionV>
                  <wp:extent cx="1466850" cy="561975"/>
                  <wp:effectExtent l="0" t="0" r="0" b="9525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02F2081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  </w:t>
            </w:r>
          </w:p>
          <w:p w14:paraId="07D8BEB6">
            <w:pPr>
              <w:jc w:val="center"/>
              <w:rPr>
                <w:rFonts w:hint="default" w:eastAsia="Calibri"/>
                <w:b/>
                <w:bCs/>
              </w:rPr>
            </w:pPr>
          </w:p>
          <w:p w14:paraId="449CADC4">
            <w:pPr>
              <w:jc w:val="center"/>
              <w:rPr>
                <w:rFonts w:hint="default" w:eastAsia="Calibri"/>
                <w:b/>
                <w:bCs/>
              </w:rPr>
            </w:pPr>
          </w:p>
          <w:p w14:paraId="314151A1">
            <w:pPr>
              <w:jc w:val="center"/>
              <w:rPr>
                <w:rFonts w:hint="default" w:eastAsia="Calibri"/>
                <w:b/>
                <w:bCs/>
              </w:rPr>
            </w:pPr>
          </w:p>
          <w:p w14:paraId="2166AD95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hint="default" w:eastAsia="Calibri"/>
                <w:b/>
                <w:bCs/>
              </w:rPr>
              <w:t>Nanang Sundoro Katili, M.Pd</w:t>
            </w:r>
          </w:p>
        </w:tc>
        <w:tc>
          <w:tcPr>
            <w:tcW w:w="2992" w:type="dxa"/>
            <w:gridSpan w:val="4"/>
            <w:tcBorders>
              <w:bottom w:val="single" w:color="000000" w:sz="4" w:space="0"/>
            </w:tcBorders>
          </w:tcPr>
          <w:p w14:paraId="3C00929E">
            <w:pPr>
              <w:jc w:val="center"/>
              <w:rPr>
                <w:rFonts w:eastAsia="Calibri"/>
                <w:b/>
              </w:rPr>
            </w:pPr>
          </w:p>
          <w:p w14:paraId="39894201">
            <w:pPr>
              <w:jc w:val="center"/>
              <w:rPr>
                <w:rFonts w:eastAsia="Calibri"/>
                <w:b/>
              </w:rPr>
            </w:pPr>
            <w: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229235</wp:posOffset>
                  </wp:positionH>
                  <wp:positionV relativeFrom="paragraph">
                    <wp:posOffset>98425</wp:posOffset>
                  </wp:positionV>
                  <wp:extent cx="1466850" cy="556895"/>
                  <wp:effectExtent l="0" t="0" r="0" b="1460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556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05E8B77">
            <w:pPr>
              <w:jc w:val="center"/>
              <w:rPr>
                <w:rFonts w:eastAsia="Calibri"/>
                <w:b/>
              </w:rPr>
            </w:pPr>
          </w:p>
          <w:p w14:paraId="190735AD">
            <w:pPr>
              <w:jc w:val="center"/>
              <w:rPr>
                <w:rFonts w:hint="default" w:eastAsia="Calibri"/>
                <w:b/>
                <w:bCs/>
              </w:rPr>
            </w:pPr>
          </w:p>
          <w:p w14:paraId="0AD17F0B">
            <w:pPr>
              <w:jc w:val="center"/>
              <w:rPr>
                <w:rFonts w:hint="default" w:eastAsia="Calibri"/>
                <w:b/>
                <w:bCs/>
              </w:rPr>
            </w:pPr>
          </w:p>
          <w:p w14:paraId="193E40B7">
            <w:pPr>
              <w:jc w:val="center"/>
              <w:rPr>
                <w:rFonts w:hint="default" w:eastAsia="Calibri"/>
                <w:b/>
                <w:bCs/>
              </w:rPr>
            </w:pPr>
          </w:p>
          <w:p w14:paraId="057F0C31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hint="default" w:eastAsia="Calibri"/>
                <w:b/>
                <w:bCs/>
              </w:rPr>
              <w:t>Nanang Sundoro Katili, M.Pd</w:t>
            </w:r>
          </w:p>
        </w:tc>
        <w:tc>
          <w:tcPr>
            <w:tcW w:w="2699" w:type="dxa"/>
            <w:gridSpan w:val="3"/>
            <w:tcBorders>
              <w:bottom w:val="single" w:color="000000" w:sz="4" w:space="0"/>
            </w:tcBorders>
          </w:tcPr>
          <w:p w14:paraId="7539141C">
            <w:pPr>
              <w:jc w:val="center"/>
              <w:rPr>
                <w:rFonts w:eastAsia="Calibri"/>
                <w:b/>
              </w:rPr>
            </w:pPr>
          </w:p>
          <w:p w14:paraId="4AC78751">
            <w:pPr>
              <w:jc w:val="center"/>
              <w:rPr>
                <w:rFonts w:eastAsia="Calibri"/>
                <w:b/>
              </w:rPr>
            </w:pPr>
            <w:r>
              <w:rPr>
                <w:sz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156845</wp:posOffset>
                  </wp:positionV>
                  <wp:extent cx="1400175" cy="536575"/>
                  <wp:effectExtent l="0" t="0" r="9525" b="0"/>
                  <wp:wrapTopAndBottom/>
                  <wp:docPr id="758725064" name="Picture 7587250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8725064" name="Picture 7587250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5" cy="536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165E6BCE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Arpin, SKM., M.Kes</w:t>
            </w:r>
          </w:p>
          <w:p w14:paraId="73A4243C">
            <w:pPr>
              <w:jc w:val="center"/>
              <w:rPr>
                <w:rFonts w:eastAsia="Calibri"/>
                <w:b/>
              </w:rPr>
            </w:pPr>
          </w:p>
        </w:tc>
      </w:tr>
      <w:tr w14:paraId="4057E2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9" w:type="dxa"/>
            <w:gridSpan w:val="2"/>
            <w:vMerge w:val="restart"/>
          </w:tcPr>
          <w:p w14:paraId="15E828C5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CapaianPembelajaran (CP)</w:t>
            </w:r>
          </w:p>
        </w:tc>
        <w:tc>
          <w:tcPr>
            <w:tcW w:w="5666" w:type="dxa"/>
            <w:gridSpan w:val="7"/>
            <w:tcBorders>
              <w:bottom w:val="single" w:color="000000" w:sz="4" w:space="0"/>
            </w:tcBorders>
            <w:shd w:val="clear" w:color="auto" w:fill="E7E6E6"/>
          </w:tcPr>
          <w:p w14:paraId="77FD2646">
            <w:pPr>
              <w:tabs>
                <w:tab w:val="left" w:pos="1806"/>
              </w:tabs>
              <w:rPr>
                <w:rFonts w:eastAsia="Calibri"/>
                <w:b/>
                <w:lang w:val="sv-SE"/>
              </w:rPr>
            </w:pPr>
            <w:r>
              <w:rPr>
                <w:rFonts w:eastAsia="Calibri"/>
                <w:b/>
                <w:lang w:val="sv-SE"/>
              </w:rPr>
              <w:t xml:space="preserve">CPL-PRODI  yang dibebankan pada MK       </w:t>
            </w:r>
          </w:p>
        </w:tc>
        <w:tc>
          <w:tcPr>
            <w:tcW w:w="5691" w:type="dxa"/>
            <w:gridSpan w:val="7"/>
            <w:tcBorders>
              <w:bottom w:val="single" w:color="FFFFFF" w:sz="8" w:space="0"/>
            </w:tcBorders>
          </w:tcPr>
          <w:p w14:paraId="61381A82">
            <w:pPr>
              <w:tabs>
                <w:tab w:val="left" w:pos="1806"/>
              </w:tabs>
              <w:rPr>
                <w:rFonts w:eastAsia="Calibri"/>
                <w:b/>
                <w:lang w:val="sv-SE"/>
              </w:rPr>
            </w:pPr>
          </w:p>
        </w:tc>
      </w:tr>
      <w:tr w14:paraId="3F84C6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9" w:type="dxa"/>
            <w:gridSpan w:val="2"/>
            <w:vMerge w:val="continue"/>
          </w:tcPr>
          <w:p w14:paraId="406456B6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eastAsia="Calibri"/>
                <w:b/>
                <w:lang w:val="sv-SE"/>
              </w:rPr>
            </w:pPr>
          </w:p>
        </w:tc>
        <w:tc>
          <w:tcPr>
            <w:tcW w:w="1276" w:type="dxa"/>
            <w:vAlign w:val="center"/>
          </w:tcPr>
          <w:p w14:paraId="05B99513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CPL-2</w:t>
            </w:r>
          </w:p>
        </w:tc>
        <w:tc>
          <w:tcPr>
            <w:tcW w:w="10081" w:type="dxa"/>
            <w:gridSpan w:val="13"/>
            <w:vAlign w:val="center"/>
          </w:tcPr>
          <w:p w14:paraId="08A22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Menguasai konsep, teori, metodologi, dan prinsip-prinsip K3 termasuk aspek biomedis, lingkungan, ergonomi, psikososial, serta regulasi nasional dan internasional yang relevan.</w:t>
            </w:r>
          </w:p>
        </w:tc>
      </w:tr>
      <w:tr w14:paraId="64A471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9" w:type="dxa"/>
            <w:gridSpan w:val="2"/>
            <w:vMerge w:val="continue"/>
          </w:tcPr>
          <w:p w14:paraId="400CCC92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eastAsia="Calibri"/>
              </w:rPr>
            </w:pPr>
          </w:p>
        </w:tc>
        <w:tc>
          <w:tcPr>
            <w:tcW w:w="1276" w:type="dxa"/>
            <w:vAlign w:val="center"/>
          </w:tcPr>
          <w:p w14:paraId="147A777E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CPL-3</w:t>
            </w:r>
          </w:p>
        </w:tc>
        <w:tc>
          <w:tcPr>
            <w:tcW w:w="10081" w:type="dxa"/>
            <w:gridSpan w:val="13"/>
            <w:vAlign w:val="center"/>
          </w:tcPr>
          <w:p w14:paraId="77491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Mampu menganalisis, merancang, dan mengimplementasikan program K3 berbasis bukti dan standar profesi.</w:t>
            </w:r>
          </w:p>
        </w:tc>
      </w:tr>
      <w:tr w14:paraId="59AFC6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9" w:type="dxa"/>
            <w:gridSpan w:val="2"/>
            <w:vMerge w:val="continue"/>
          </w:tcPr>
          <w:p w14:paraId="00272B85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eastAsia="Calibri"/>
              </w:rPr>
            </w:pPr>
          </w:p>
        </w:tc>
        <w:tc>
          <w:tcPr>
            <w:tcW w:w="1276" w:type="dxa"/>
            <w:vAlign w:val="center"/>
          </w:tcPr>
          <w:p w14:paraId="1714A64E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CPL-4</w:t>
            </w:r>
          </w:p>
        </w:tc>
        <w:tc>
          <w:tcPr>
            <w:tcW w:w="10081" w:type="dxa"/>
            <w:gridSpan w:val="13"/>
            <w:vAlign w:val="center"/>
          </w:tcPr>
          <w:p w14:paraId="54EE98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Mampu melakukan identifikasi, penilaian, dan pengendalian risiko bahaya fisik, kimia, biologis, ergonomi, dan psikososial dengan metode ilmiah dan instrumen pengukuran yang tepat.</w:t>
            </w:r>
          </w:p>
        </w:tc>
      </w:tr>
      <w:tr w14:paraId="2B2917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9" w:type="dxa"/>
            <w:gridSpan w:val="2"/>
            <w:vMerge w:val="continue"/>
          </w:tcPr>
          <w:p w14:paraId="4A7CA045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eastAsia="Calibri"/>
              </w:rPr>
            </w:pPr>
          </w:p>
        </w:tc>
        <w:tc>
          <w:tcPr>
            <w:tcW w:w="1276" w:type="dxa"/>
            <w:vAlign w:val="center"/>
          </w:tcPr>
          <w:p w14:paraId="656EA200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CPL-9</w:t>
            </w:r>
          </w:p>
        </w:tc>
        <w:tc>
          <w:tcPr>
            <w:tcW w:w="10081" w:type="dxa"/>
            <w:gridSpan w:val="13"/>
            <w:vAlign w:val="center"/>
          </w:tcPr>
          <w:p w14:paraId="1F115A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Mampu beradaptasi terhadap perkembangan ilmu pengetahuan, teknologi, isu kontemporer, dan digitalisasi dalam praktik K3.</w:t>
            </w:r>
          </w:p>
        </w:tc>
      </w:tr>
      <w:tr w14:paraId="4432F1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1549" w:type="dxa"/>
            <w:gridSpan w:val="2"/>
            <w:vMerge w:val="continue"/>
          </w:tcPr>
          <w:p w14:paraId="42BFA876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eastAsia="Calibri"/>
              </w:rPr>
            </w:pPr>
          </w:p>
        </w:tc>
        <w:tc>
          <w:tcPr>
            <w:tcW w:w="5666" w:type="dxa"/>
            <w:gridSpan w:val="7"/>
            <w:tcBorders>
              <w:top w:val="single" w:color="000000" w:sz="4" w:space="0"/>
              <w:bottom w:val="single" w:color="000000" w:sz="4" w:space="0"/>
            </w:tcBorders>
            <w:shd w:val="clear" w:color="auto" w:fill="E7E6E6"/>
          </w:tcPr>
          <w:p w14:paraId="12506742">
            <w:pPr>
              <w:rPr>
                <w:rFonts w:eastAsia="Calibri"/>
                <w:lang w:val="sv-SE"/>
              </w:rPr>
            </w:pPr>
            <w:r>
              <w:rPr>
                <w:rFonts w:eastAsia="Calibri"/>
                <w:b/>
                <w:lang w:val="sv-SE"/>
              </w:rPr>
              <w:t>Capaian Pembelajaran Mata Kuliah (CPMK)</w:t>
            </w:r>
          </w:p>
        </w:tc>
        <w:tc>
          <w:tcPr>
            <w:tcW w:w="5691" w:type="dxa"/>
            <w:gridSpan w:val="7"/>
            <w:tcBorders>
              <w:top w:val="nil"/>
              <w:bottom w:val="nil"/>
            </w:tcBorders>
          </w:tcPr>
          <w:p w14:paraId="57699120">
            <w:pPr>
              <w:rPr>
                <w:rFonts w:eastAsia="Calibri"/>
                <w:lang w:val="sv-SE"/>
              </w:rPr>
            </w:pPr>
          </w:p>
        </w:tc>
      </w:tr>
      <w:tr w14:paraId="4208E7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9" w:type="dxa"/>
            <w:gridSpan w:val="2"/>
            <w:vMerge w:val="continue"/>
          </w:tcPr>
          <w:p w14:paraId="2BEA4291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eastAsia="Calibri"/>
                <w:lang w:val="sv-SE"/>
              </w:rPr>
            </w:pPr>
          </w:p>
        </w:tc>
        <w:tc>
          <w:tcPr>
            <w:tcW w:w="1276" w:type="dxa"/>
          </w:tcPr>
          <w:p w14:paraId="5B7A345F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CPMK-1</w:t>
            </w:r>
          </w:p>
        </w:tc>
        <w:tc>
          <w:tcPr>
            <w:tcW w:w="10081" w:type="dxa"/>
            <w:gridSpan w:val="13"/>
          </w:tcPr>
          <w:p w14:paraId="079D681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Menjelaskan konsep dasar fisika dan kimia yang relevan dalam bidang Keselamatan dan Kesehatan Kerja (K3).</w:t>
            </w:r>
          </w:p>
        </w:tc>
      </w:tr>
      <w:tr w14:paraId="51742E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9" w:type="dxa"/>
            <w:gridSpan w:val="2"/>
            <w:vMerge w:val="continue"/>
          </w:tcPr>
          <w:p w14:paraId="44E7E9E7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eastAsia="Calibri"/>
                <w:lang w:val="sv-SE"/>
              </w:rPr>
            </w:pPr>
          </w:p>
        </w:tc>
        <w:tc>
          <w:tcPr>
            <w:tcW w:w="1276" w:type="dxa"/>
          </w:tcPr>
          <w:p w14:paraId="064DA5AF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CPMK-2</w:t>
            </w:r>
          </w:p>
        </w:tc>
        <w:tc>
          <w:tcPr>
            <w:tcW w:w="10081" w:type="dxa"/>
            <w:gridSpan w:val="13"/>
          </w:tcPr>
          <w:p w14:paraId="0B3CD55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Mengidentifikasi dan mengklasifikasikan bahaya fisik dan kimia di tempat kerja.</w:t>
            </w:r>
          </w:p>
        </w:tc>
      </w:tr>
      <w:tr w14:paraId="26C0B7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9" w:type="dxa"/>
            <w:gridSpan w:val="2"/>
            <w:vMerge w:val="continue"/>
          </w:tcPr>
          <w:p w14:paraId="7AB576BE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eastAsia="Calibri"/>
                <w:lang w:val="sv-SE"/>
              </w:rPr>
            </w:pPr>
          </w:p>
        </w:tc>
        <w:tc>
          <w:tcPr>
            <w:tcW w:w="1276" w:type="dxa"/>
          </w:tcPr>
          <w:p w14:paraId="4FADB34C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CPMK-3</w:t>
            </w:r>
          </w:p>
        </w:tc>
        <w:tc>
          <w:tcPr>
            <w:tcW w:w="10081" w:type="dxa"/>
            <w:gridSpan w:val="13"/>
          </w:tcPr>
          <w:p w14:paraId="5FDB2E2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Menggunakan prinsip-prinsip kimia dan fisika untuk menganalisis faktor risiko paparan di lingkungan kerja.</w:t>
            </w:r>
          </w:p>
        </w:tc>
      </w:tr>
      <w:tr w14:paraId="42FEA7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9" w:type="dxa"/>
            <w:gridSpan w:val="2"/>
            <w:vMerge w:val="continue"/>
          </w:tcPr>
          <w:p w14:paraId="1C15CEE4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eastAsia="Calibri"/>
                <w:lang w:val="sv-SE"/>
              </w:rPr>
            </w:pPr>
          </w:p>
        </w:tc>
        <w:tc>
          <w:tcPr>
            <w:tcW w:w="1276" w:type="dxa"/>
          </w:tcPr>
          <w:p w14:paraId="4D5C47E2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CMPK-4</w:t>
            </w:r>
          </w:p>
        </w:tc>
        <w:tc>
          <w:tcPr>
            <w:tcW w:w="10081" w:type="dxa"/>
            <w:gridSpan w:val="13"/>
          </w:tcPr>
          <w:p w14:paraId="148838D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Melakukan pengukuran dan pengendalian bahaya fisik dan kimia menggunakan metode ilmiah serta instrumen laboratorium.</w:t>
            </w:r>
          </w:p>
        </w:tc>
      </w:tr>
      <w:tr w14:paraId="786979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9" w:type="dxa"/>
            <w:gridSpan w:val="2"/>
            <w:vMerge w:val="continue"/>
          </w:tcPr>
          <w:p w14:paraId="160FE330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eastAsia="Calibri"/>
              </w:rPr>
            </w:pPr>
          </w:p>
        </w:tc>
        <w:tc>
          <w:tcPr>
            <w:tcW w:w="1276" w:type="dxa"/>
          </w:tcPr>
          <w:p w14:paraId="2688F36C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CPMK-5</w:t>
            </w:r>
          </w:p>
        </w:tc>
        <w:tc>
          <w:tcPr>
            <w:tcW w:w="10081" w:type="dxa"/>
            <w:gridSpan w:val="13"/>
          </w:tcPr>
          <w:p w14:paraId="7BA69E8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Menyajikan hasil analisis dalam bentuk laporan ilmiah dan rekomendasi pengendalian risiko berbasis data.</w:t>
            </w:r>
          </w:p>
        </w:tc>
      </w:tr>
      <w:tr w14:paraId="1E2023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9" w:type="dxa"/>
            <w:gridSpan w:val="2"/>
            <w:vMerge w:val="continue"/>
          </w:tcPr>
          <w:p w14:paraId="518EA527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eastAsia="Calibri"/>
              </w:rPr>
            </w:pPr>
          </w:p>
        </w:tc>
        <w:tc>
          <w:tcPr>
            <w:tcW w:w="5666" w:type="dxa"/>
            <w:gridSpan w:val="7"/>
            <w:shd w:val="clear" w:color="auto" w:fill="D9D9D9"/>
          </w:tcPr>
          <w:p w14:paraId="2A957CF3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Kemampuan akhir tiap tahapan belajar (Sub-CPMK)</w:t>
            </w:r>
          </w:p>
        </w:tc>
        <w:tc>
          <w:tcPr>
            <w:tcW w:w="5691" w:type="dxa"/>
            <w:gridSpan w:val="7"/>
          </w:tcPr>
          <w:p w14:paraId="11DEC96C">
            <w:pPr>
              <w:jc w:val="both"/>
              <w:rPr>
                <w:rFonts w:eastAsia="Calibri"/>
              </w:rPr>
            </w:pPr>
          </w:p>
        </w:tc>
      </w:tr>
      <w:tr w14:paraId="140379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9" w:type="dxa"/>
            <w:gridSpan w:val="2"/>
            <w:vMerge w:val="continue"/>
          </w:tcPr>
          <w:p w14:paraId="481359EB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eastAsia="Calibri"/>
              </w:rPr>
            </w:pPr>
          </w:p>
        </w:tc>
        <w:tc>
          <w:tcPr>
            <w:tcW w:w="1276" w:type="dxa"/>
          </w:tcPr>
          <w:p w14:paraId="3D757004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CPMK-1</w:t>
            </w:r>
          </w:p>
        </w:tc>
        <w:tc>
          <w:tcPr>
            <w:tcW w:w="10081" w:type="dxa"/>
            <w:gridSpan w:val="13"/>
          </w:tcPr>
          <w:p w14:paraId="58023B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Menjelaskan konsep dasar fisika dan kimia yang relevan dalam bidang Keselamatan dan Kesehatan Kerja (K3).</w:t>
            </w:r>
          </w:p>
        </w:tc>
      </w:tr>
      <w:tr w14:paraId="74EA6A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9" w:type="dxa"/>
            <w:gridSpan w:val="2"/>
            <w:vMerge w:val="continue"/>
          </w:tcPr>
          <w:p w14:paraId="1A155DD5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eastAsia="Calibri"/>
              </w:rPr>
            </w:pPr>
          </w:p>
        </w:tc>
        <w:tc>
          <w:tcPr>
            <w:tcW w:w="1276" w:type="dxa"/>
          </w:tcPr>
          <w:p w14:paraId="6E102113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CPMK-2</w:t>
            </w:r>
          </w:p>
        </w:tc>
        <w:tc>
          <w:tcPr>
            <w:tcW w:w="10081" w:type="dxa"/>
            <w:gridSpan w:val="13"/>
          </w:tcPr>
          <w:p w14:paraId="6F4E34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Mengidentifikasi dan mengklasifikasikan bahaya fisik dan kimia di tempat kerja.</w:t>
            </w:r>
          </w:p>
        </w:tc>
      </w:tr>
      <w:tr w14:paraId="46496F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9" w:type="dxa"/>
            <w:gridSpan w:val="2"/>
            <w:vMerge w:val="continue"/>
          </w:tcPr>
          <w:p w14:paraId="10612362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eastAsia="Calibri"/>
              </w:rPr>
            </w:pPr>
          </w:p>
        </w:tc>
        <w:tc>
          <w:tcPr>
            <w:tcW w:w="1276" w:type="dxa"/>
          </w:tcPr>
          <w:p w14:paraId="59E92A88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CPMK-3</w:t>
            </w:r>
          </w:p>
        </w:tc>
        <w:tc>
          <w:tcPr>
            <w:tcW w:w="10081" w:type="dxa"/>
            <w:gridSpan w:val="13"/>
          </w:tcPr>
          <w:p w14:paraId="7E47578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Menggunakan prinsip-prinsip kimia dan fisika untuk menganalisis faktor risiko paparan di lingkungan kerja.</w:t>
            </w:r>
          </w:p>
        </w:tc>
      </w:tr>
      <w:tr w14:paraId="5BB0A4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9" w:type="dxa"/>
            <w:gridSpan w:val="2"/>
            <w:vMerge w:val="continue"/>
          </w:tcPr>
          <w:p w14:paraId="65065668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eastAsia="Calibri"/>
              </w:rPr>
            </w:pPr>
          </w:p>
        </w:tc>
        <w:tc>
          <w:tcPr>
            <w:tcW w:w="1276" w:type="dxa"/>
          </w:tcPr>
          <w:p w14:paraId="34EB30A8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CMPK-4</w:t>
            </w:r>
          </w:p>
        </w:tc>
        <w:tc>
          <w:tcPr>
            <w:tcW w:w="10081" w:type="dxa"/>
            <w:gridSpan w:val="13"/>
          </w:tcPr>
          <w:p w14:paraId="3617F3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Melakukan pengukuran dan pengendalian bahaya fisik dan kimia menggunakan metode ilmiah serta instrumen laboratorium.</w:t>
            </w:r>
          </w:p>
        </w:tc>
      </w:tr>
      <w:tr w14:paraId="1AFE8A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9" w:type="dxa"/>
            <w:gridSpan w:val="2"/>
            <w:vMerge w:val="continue"/>
          </w:tcPr>
          <w:p w14:paraId="5C65024A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eastAsia="Calibri"/>
              </w:rPr>
            </w:pPr>
          </w:p>
        </w:tc>
        <w:tc>
          <w:tcPr>
            <w:tcW w:w="1276" w:type="dxa"/>
          </w:tcPr>
          <w:p w14:paraId="383A4C1F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CPMK-5</w:t>
            </w:r>
          </w:p>
        </w:tc>
        <w:tc>
          <w:tcPr>
            <w:tcW w:w="10081" w:type="dxa"/>
            <w:gridSpan w:val="13"/>
          </w:tcPr>
          <w:p w14:paraId="5A57798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Menyajikan hasil analisis dalam bentuk laporan ilmiah dan rekomendasi pengendalian risiko berbasis data.</w:t>
            </w:r>
          </w:p>
        </w:tc>
      </w:tr>
      <w:tr w14:paraId="358D73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9" w:type="dxa"/>
            <w:gridSpan w:val="2"/>
            <w:vMerge w:val="continue"/>
          </w:tcPr>
          <w:p w14:paraId="2357BAFA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eastAsia="Calibri"/>
              </w:rPr>
            </w:pPr>
          </w:p>
        </w:tc>
        <w:tc>
          <w:tcPr>
            <w:tcW w:w="5650" w:type="dxa"/>
            <w:gridSpan w:val="6"/>
            <w:shd w:val="clear" w:color="auto" w:fill="BFBFBF"/>
          </w:tcPr>
          <w:p w14:paraId="1F686F90">
            <w:pPr>
              <w:jc w:val="both"/>
              <w:rPr>
                <w:rFonts w:eastAsia="Calibri"/>
                <w:b/>
                <w:lang w:val="sv-SE"/>
              </w:rPr>
            </w:pPr>
            <w:r>
              <w:rPr>
                <w:rFonts w:eastAsia="Calibri"/>
                <w:b/>
                <w:lang w:val="sv-SE"/>
              </w:rPr>
              <w:t>Korelasi CPMK terhadap Sub-CPMK</w:t>
            </w:r>
          </w:p>
        </w:tc>
        <w:tc>
          <w:tcPr>
            <w:tcW w:w="5707" w:type="dxa"/>
            <w:gridSpan w:val="8"/>
          </w:tcPr>
          <w:p w14:paraId="385FB7F4">
            <w:pPr>
              <w:jc w:val="both"/>
              <w:rPr>
                <w:rFonts w:eastAsia="Calibri"/>
                <w:lang w:val="sv-SE"/>
              </w:rPr>
            </w:pPr>
          </w:p>
        </w:tc>
      </w:tr>
      <w:tr w14:paraId="08D8D4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9" w:type="dxa"/>
            <w:gridSpan w:val="2"/>
          </w:tcPr>
          <w:p w14:paraId="5925E0BF">
            <w:pPr>
              <w:rPr>
                <w:rFonts w:eastAsia="Calibri"/>
                <w:b/>
                <w:lang w:val="sv-SE"/>
              </w:rPr>
            </w:pPr>
          </w:p>
        </w:tc>
        <w:tc>
          <w:tcPr>
            <w:tcW w:w="11357" w:type="dxa"/>
            <w:gridSpan w:val="14"/>
          </w:tcPr>
          <w:p w14:paraId="654AF272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eastAsia="Calibri"/>
                <w:b/>
                <w:lang w:val="sv-SE"/>
              </w:rPr>
            </w:pPr>
          </w:p>
          <w:tbl>
            <w:tblPr>
              <w:tblStyle w:val="12"/>
              <w:tblW w:w="21595" w:type="dxa"/>
              <w:tblInd w:w="0" w:type="dxa"/>
              <w:tblBorders>
                <w:top w:val="single" w:color="95B3D7" w:sz="4" w:space="0"/>
                <w:left w:val="single" w:color="95B3D7" w:sz="4" w:space="0"/>
                <w:bottom w:val="single" w:color="95B3D7" w:sz="4" w:space="0"/>
                <w:right w:val="single" w:color="95B3D7" w:sz="4" w:space="0"/>
                <w:insideH w:val="single" w:color="95B3D7" w:sz="4" w:space="0"/>
                <w:insideV w:val="single" w:color="95B3D7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851"/>
              <w:gridCol w:w="1851"/>
              <w:gridCol w:w="1851"/>
              <w:gridCol w:w="1851"/>
              <w:gridCol w:w="1851"/>
              <w:gridCol w:w="1851"/>
              <w:gridCol w:w="1851"/>
              <w:gridCol w:w="1302"/>
              <w:gridCol w:w="1852"/>
              <w:gridCol w:w="1141"/>
              <w:gridCol w:w="1852"/>
              <w:gridCol w:w="1392"/>
              <w:gridCol w:w="1099"/>
            </w:tblGrid>
            <w:tr w14:paraId="74DDA407">
              <w:tblPrEx>
                <w:tblBorders>
                  <w:top w:val="single" w:color="95B3D7" w:sz="4" w:space="0"/>
                  <w:left w:val="single" w:color="95B3D7" w:sz="4" w:space="0"/>
                  <w:bottom w:val="single" w:color="95B3D7" w:sz="4" w:space="0"/>
                  <w:right w:val="single" w:color="95B3D7" w:sz="4" w:space="0"/>
                  <w:insideH w:val="single" w:color="95B3D7" w:sz="4" w:space="0"/>
                  <w:insideV w:val="single" w:color="95B3D7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51" w:type="dxa"/>
                  <w:vAlign w:val="center"/>
                </w:tcPr>
                <w:p w14:paraId="0EB80CE3">
                  <w:pPr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CPMK / Sub-CPMK</w:t>
                  </w:r>
                </w:p>
              </w:tc>
              <w:tc>
                <w:tcPr>
                  <w:tcW w:w="1851" w:type="dxa"/>
                  <w:vAlign w:val="center"/>
                </w:tcPr>
                <w:p w14:paraId="23F02DB1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Sub-1</w:t>
                  </w:r>
                </w:p>
              </w:tc>
              <w:tc>
                <w:tcPr>
                  <w:tcW w:w="1851" w:type="dxa"/>
                  <w:vAlign w:val="center"/>
                </w:tcPr>
                <w:p w14:paraId="6EE91D14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Sub-2</w:t>
                  </w:r>
                </w:p>
              </w:tc>
              <w:tc>
                <w:tcPr>
                  <w:tcW w:w="1851" w:type="dxa"/>
                  <w:vAlign w:val="center"/>
                </w:tcPr>
                <w:p w14:paraId="7CECA1D8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Sub-3</w:t>
                  </w:r>
                </w:p>
              </w:tc>
              <w:tc>
                <w:tcPr>
                  <w:tcW w:w="1851" w:type="dxa"/>
                  <w:vAlign w:val="center"/>
                </w:tcPr>
                <w:p w14:paraId="6A965B3F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Sub-4</w:t>
                  </w:r>
                </w:p>
              </w:tc>
              <w:tc>
                <w:tcPr>
                  <w:tcW w:w="1851" w:type="dxa"/>
                  <w:vAlign w:val="center"/>
                </w:tcPr>
                <w:p w14:paraId="0913039B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Sub-5</w:t>
                  </w:r>
                </w:p>
              </w:tc>
              <w:tc>
                <w:tcPr>
                  <w:tcW w:w="1851" w:type="dxa"/>
                </w:tcPr>
                <w:p w14:paraId="5D07001C">
                  <w:pPr>
                    <w:jc w:val="both"/>
                    <w:rPr>
                      <w:lang w:val="sv-SE"/>
                    </w:rPr>
                  </w:pPr>
                </w:p>
              </w:tc>
              <w:tc>
                <w:tcPr>
                  <w:tcW w:w="1302" w:type="dxa"/>
                </w:tcPr>
                <w:p w14:paraId="08913475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1852" w:type="dxa"/>
                </w:tcPr>
                <w:p w14:paraId="20C724E2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1141" w:type="dxa"/>
                </w:tcPr>
                <w:p w14:paraId="4EEE23BC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1852" w:type="dxa"/>
                </w:tcPr>
                <w:p w14:paraId="1A6D6D69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1392" w:type="dxa"/>
                </w:tcPr>
                <w:p w14:paraId="394CB24F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1099" w:type="dxa"/>
                </w:tcPr>
                <w:p w14:paraId="7E951C79">
                  <w:pPr>
                    <w:jc w:val="both"/>
                  </w:pPr>
                </w:p>
              </w:tc>
            </w:tr>
            <w:tr w14:paraId="3CC1343A">
              <w:tblPrEx>
                <w:tblBorders>
                  <w:top w:val="single" w:color="95B3D7" w:sz="4" w:space="0"/>
                  <w:left w:val="single" w:color="95B3D7" w:sz="4" w:space="0"/>
                  <w:bottom w:val="single" w:color="95B3D7" w:sz="4" w:space="0"/>
                  <w:right w:val="single" w:color="95B3D7" w:sz="4" w:space="0"/>
                  <w:insideH w:val="single" w:color="95B3D7" w:sz="4" w:space="0"/>
                  <w:insideV w:val="single" w:color="95B3D7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51" w:type="dxa"/>
                  <w:vAlign w:val="center"/>
                </w:tcPr>
                <w:p w14:paraId="42EEE56C">
                  <w:pPr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CPMK-1</w:t>
                  </w:r>
                </w:p>
              </w:tc>
              <w:tc>
                <w:tcPr>
                  <w:tcW w:w="1851" w:type="dxa"/>
                  <w:vAlign w:val="center"/>
                </w:tcPr>
                <w:p w14:paraId="0FF9DF78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 w:ascii="MS Gothic" w:hAnsi="MS Gothic" w:eastAsia="MS Gothic" w:cs="MS Gothic"/>
                      <w:sz w:val="24"/>
                      <w:szCs w:val="24"/>
                    </w:rPr>
                    <w:t>✔</w:t>
                  </w:r>
                </w:p>
              </w:tc>
              <w:tc>
                <w:tcPr>
                  <w:tcW w:w="1851" w:type="dxa"/>
                  <w:vAlign w:val="center"/>
                </w:tcPr>
                <w:p w14:paraId="01DD392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 w:ascii="MS Gothic" w:hAnsi="MS Gothic" w:eastAsia="MS Gothic" w:cs="MS Gothic"/>
                      <w:sz w:val="24"/>
                      <w:szCs w:val="24"/>
                    </w:rPr>
                    <w:t>✔</w:t>
                  </w:r>
                </w:p>
              </w:tc>
              <w:tc>
                <w:tcPr>
                  <w:tcW w:w="1851" w:type="dxa"/>
                  <w:vAlign w:val="center"/>
                </w:tcPr>
                <w:p w14:paraId="2AB6154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51" w:type="dxa"/>
                  <w:vAlign w:val="center"/>
                </w:tcPr>
                <w:p w14:paraId="40582B5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51" w:type="dxa"/>
                  <w:vAlign w:val="center"/>
                </w:tcPr>
                <w:p w14:paraId="7B5ACA2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51" w:type="dxa"/>
                </w:tcPr>
                <w:p w14:paraId="0E37E44D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1302" w:type="dxa"/>
                </w:tcPr>
                <w:p w14:paraId="60CFB6CB">
                  <w:pPr>
                    <w:jc w:val="both"/>
                  </w:pPr>
                </w:p>
              </w:tc>
              <w:tc>
                <w:tcPr>
                  <w:tcW w:w="1852" w:type="dxa"/>
                </w:tcPr>
                <w:p w14:paraId="38CD1453">
                  <w:pPr>
                    <w:jc w:val="both"/>
                  </w:pPr>
                </w:p>
              </w:tc>
              <w:tc>
                <w:tcPr>
                  <w:tcW w:w="1141" w:type="dxa"/>
                </w:tcPr>
                <w:p w14:paraId="3DAA52FC">
                  <w:pPr>
                    <w:jc w:val="both"/>
                  </w:pPr>
                </w:p>
              </w:tc>
              <w:tc>
                <w:tcPr>
                  <w:tcW w:w="1852" w:type="dxa"/>
                </w:tcPr>
                <w:p w14:paraId="777678A1">
                  <w:pPr>
                    <w:jc w:val="both"/>
                  </w:pPr>
                </w:p>
              </w:tc>
              <w:tc>
                <w:tcPr>
                  <w:tcW w:w="1392" w:type="dxa"/>
                </w:tcPr>
                <w:p w14:paraId="42E3BF79">
                  <w:pPr>
                    <w:jc w:val="both"/>
                  </w:pPr>
                </w:p>
              </w:tc>
              <w:tc>
                <w:tcPr>
                  <w:tcW w:w="1099" w:type="dxa"/>
                </w:tcPr>
                <w:p w14:paraId="62447313">
                  <w:pPr>
                    <w:jc w:val="both"/>
                  </w:pPr>
                </w:p>
              </w:tc>
            </w:tr>
            <w:tr w14:paraId="31C1D83F">
              <w:tblPrEx>
                <w:tblBorders>
                  <w:top w:val="single" w:color="95B3D7" w:sz="4" w:space="0"/>
                  <w:left w:val="single" w:color="95B3D7" w:sz="4" w:space="0"/>
                  <w:bottom w:val="single" w:color="95B3D7" w:sz="4" w:space="0"/>
                  <w:right w:val="single" w:color="95B3D7" w:sz="4" w:space="0"/>
                  <w:insideH w:val="single" w:color="95B3D7" w:sz="4" w:space="0"/>
                  <w:insideV w:val="single" w:color="95B3D7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51" w:type="dxa"/>
                  <w:vAlign w:val="center"/>
                </w:tcPr>
                <w:p w14:paraId="646D77ED">
                  <w:pPr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CPMK-2</w:t>
                  </w:r>
                </w:p>
              </w:tc>
              <w:tc>
                <w:tcPr>
                  <w:tcW w:w="1851" w:type="dxa"/>
                  <w:vAlign w:val="center"/>
                </w:tcPr>
                <w:p w14:paraId="2499291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51" w:type="dxa"/>
                  <w:vAlign w:val="center"/>
                </w:tcPr>
                <w:p w14:paraId="5AEFC95E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 w:ascii="MS Gothic" w:hAnsi="MS Gothic" w:eastAsia="MS Gothic" w:cs="MS Gothic"/>
                      <w:sz w:val="24"/>
                      <w:szCs w:val="24"/>
                    </w:rPr>
                    <w:t>✔</w:t>
                  </w:r>
                </w:p>
              </w:tc>
              <w:tc>
                <w:tcPr>
                  <w:tcW w:w="1851" w:type="dxa"/>
                  <w:vAlign w:val="center"/>
                </w:tcPr>
                <w:p w14:paraId="65906D5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 w:ascii="MS Gothic" w:hAnsi="MS Gothic" w:eastAsia="MS Gothic" w:cs="MS Gothic"/>
                      <w:sz w:val="24"/>
                      <w:szCs w:val="24"/>
                    </w:rPr>
                    <w:t>✔</w:t>
                  </w:r>
                </w:p>
              </w:tc>
              <w:tc>
                <w:tcPr>
                  <w:tcW w:w="1851" w:type="dxa"/>
                  <w:vAlign w:val="center"/>
                </w:tcPr>
                <w:p w14:paraId="225BB6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51" w:type="dxa"/>
                  <w:vAlign w:val="center"/>
                </w:tcPr>
                <w:p w14:paraId="45BD704F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51" w:type="dxa"/>
                </w:tcPr>
                <w:p w14:paraId="2EB4A8B3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1302" w:type="dxa"/>
                </w:tcPr>
                <w:p w14:paraId="312198A9">
                  <w:pPr>
                    <w:jc w:val="both"/>
                  </w:pPr>
                </w:p>
              </w:tc>
              <w:tc>
                <w:tcPr>
                  <w:tcW w:w="1852" w:type="dxa"/>
                </w:tcPr>
                <w:p w14:paraId="3E3FFD74">
                  <w:pPr>
                    <w:jc w:val="both"/>
                  </w:pPr>
                </w:p>
              </w:tc>
              <w:tc>
                <w:tcPr>
                  <w:tcW w:w="1141" w:type="dxa"/>
                </w:tcPr>
                <w:p w14:paraId="57069325">
                  <w:pPr>
                    <w:jc w:val="both"/>
                  </w:pPr>
                </w:p>
              </w:tc>
              <w:tc>
                <w:tcPr>
                  <w:tcW w:w="1852" w:type="dxa"/>
                </w:tcPr>
                <w:p w14:paraId="34675585">
                  <w:pPr>
                    <w:jc w:val="both"/>
                  </w:pPr>
                </w:p>
              </w:tc>
              <w:tc>
                <w:tcPr>
                  <w:tcW w:w="1392" w:type="dxa"/>
                </w:tcPr>
                <w:p w14:paraId="3325F579">
                  <w:pPr>
                    <w:jc w:val="both"/>
                  </w:pPr>
                </w:p>
              </w:tc>
              <w:tc>
                <w:tcPr>
                  <w:tcW w:w="1099" w:type="dxa"/>
                </w:tcPr>
                <w:p w14:paraId="40A7FC06">
                  <w:pPr>
                    <w:jc w:val="both"/>
                  </w:pPr>
                </w:p>
              </w:tc>
            </w:tr>
            <w:tr w14:paraId="04975864">
              <w:tblPrEx>
                <w:tblBorders>
                  <w:top w:val="single" w:color="95B3D7" w:sz="4" w:space="0"/>
                  <w:left w:val="single" w:color="95B3D7" w:sz="4" w:space="0"/>
                  <w:bottom w:val="single" w:color="95B3D7" w:sz="4" w:space="0"/>
                  <w:right w:val="single" w:color="95B3D7" w:sz="4" w:space="0"/>
                  <w:insideH w:val="single" w:color="95B3D7" w:sz="4" w:space="0"/>
                  <w:insideV w:val="single" w:color="95B3D7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51" w:type="dxa"/>
                  <w:vAlign w:val="center"/>
                </w:tcPr>
                <w:p w14:paraId="55BE263B">
                  <w:pPr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CPMK-3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851" w:type="dxa"/>
                  <w:vAlign w:val="center"/>
                </w:tcPr>
                <w:p w14:paraId="47117B1E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51" w:type="dxa"/>
                  <w:vAlign w:val="center"/>
                </w:tcPr>
                <w:p w14:paraId="34C6748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51" w:type="dxa"/>
                  <w:vAlign w:val="center"/>
                </w:tcPr>
                <w:p w14:paraId="4A93732A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 w:ascii="MS Gothic" w:hAnsi="MS Gothic" w:eastAsia="MS Gothic" w:cs="MS Gothic"/>
                      <w:sz w:val="24"/>
                      <w:szCs w:val="24"/>
                    </w:rPr>
                    <w:t>✔</w:t>
                  </w:r>
                </w:p>
              </w:tc>
              <w:tc>
                <w:tcPr>
                  <w:tcW w:w="1851" w:type="dxa"/>
                  <w:vAlign w:val="center"/>
                </w:tcPr>
                <w:p w14:paraId="301AD2F1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 w:ascii="MS Gothic" w:hAnsi="MS Gothic" w:eastAsia="MS Gothic" w:cs="MS Gothic"/>
                      <w:sz w:val="24"/>
                      <w:szCs w:val="24"/>
                    </w:rPr>
                    <w:t>✔</w:t>
                  </w:r>
                </w:p>
              </w:tc>
              <w:tc>
                <w:tcPr>
                  <w:tcW w:w="1851" w:type="dxa"/>
                  <w:vAlign w:val="center"/>
                </w:tcPr>
                <w:p w14:paraId="591BAD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51" w:type="dxa"/>
                </w:tcPr>
                <w:p w14:paraId="6D17EF39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1302" w:type="dxa"/>
                </w:tcPr>
                <w:p w14:paraId="4DD7D923">
                  <w:pPr>
                    <w:jc w:val="both"/>
                  </w:pPr>
                </w:p>
              </w:tc>
              <w:tc>
                <w:tcPr>
                  <w:tcW w:w="1852" w:type="dxa"/>
                </w:tcPr>
                <w:p w14:paraId="4A438CFA">
                  <w:pPr>
                    <w:jc w:val="both"/>
                  </w:pPr>
                </w:p>
              </w:tc>
              <w:tc>
                <w:tcPr>
                  <w:tcW w:w="1141" w:type="dxa"/>
                </w:tcPr>
                <w:p w14:paraId="0B8211E4">
                  <w:pPr>
                    <w:jc w:val="both"/>
                  </w:pPr>
                </w:p>
              </w:tc>
              <w:tc>
                <w:tcPr>
                  <w:tcW w:w="1852" w:type="dxa"/>
                </w:tcPr>
                <w:p w14:paraId="2791BE71">
                  <w:pPr>
                    <w:jc w:val="both"/>
                  </w:pPr>
                </w:p>
              </w:tc>
              <w:tc>
                <w:tcPr>
                  <w:tcW w:w="1392" w:type="dxa"/>
                </w:tcPr>
                <w:p w14:paraId="7D13E515">
                  <w:pPr>
                    <w:jc w:val="both"/>
                  </w:pPr>
                </w:p>
              </w:tc>
              <w:tc>
                <w:tcPr>
                  <w:tcW w:w="1099" w:type="dxa"/>
                </w:tcPr>
                <w:p w14:paraId="7DC28BEF">
                  <w:pPr>
                    <w:jc w:val="both"/>
                  </w:pPr>
                </w:p>
              </w:tc>
            </w:tr>
            <w:tr w14:paraId="7F906DCC">
              <w:tblPrEx>
                <w:tblBorders>
                  <w:top w:val="single" w:color="95B3D7" w:sz="4" w:space="0"/>
                  <w:left w:val="single" w:color="95B3D7" w:sz="4" w:space="0"/>
                  <w:bottom w:val="single" w:color="95B3D7" w:sz="4" w:space="0"/>
                  <w:right w:val="single" w:color="95B3D7" w:sz="4" w:space="0"/>
                  <w:insideH w:val="single" w:color="95B3D7" w:sz="4" w:space="0"/>
                  <w:insideV w:val="single" w:color="95B3D7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51" w:type="dxa"/>
                  <w:vAlign w:val="center"/>
                </w:tcPr>
                <w:p w14:paraId="5EEF6D1F">
                  <w:pPr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CPMK-4</w:t>
                  </w:r>
                </w:p>
              </w:tc>
              <w:tc>
                <w:tcPr>
                  <w:tcW w:w="1851" w:type="dxa"/>
                  <w:vAlign w:val="center"/>
                </w:tcPr>
                <w:p w14:paraId="4C08FF4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51" w:type="dxa"/>
                  <w:vAlign w:val="center"/>
                </w:tcPr>
                <w:p w14:paraId="38F873A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51" w:type="dxa"/>
                  <w:vAlign w:val="center"/>
                </w:tcPr>
                <w:p w14:paraId="7DF5A86C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51" w:type="dxa"/>
                  <w:vAlign w:val="center"/>
                </w:tcPr>
                <w:p w14:paraId="18018F84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 w:ascii="MS Gothic" w:hAnsi="MS Gothic" w:eastAsia="MS Gothic" w:cs="MS Gothic"/>
                      <w:sz w:val="24"/>
                      <w:szCs w:val="24"/>
                    </w:rPr>
                    <w:t>✔</w:t>
                  </w:r>
                </w:p>
              </w:tc>
              <w:tc>
                <w:tcPr>
                  <w:tcW w:w="1851" w:type="dxa"/>
                  <w:vAlign w:val="center"/>
                </w:tcPr>
                <w:p w14:paraId="05134AF2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 w:ascii="MS Gothic" w:hAnsi="MS Gothic" w:eastAsia="MS Gothic" w:cs="MS Gothic"/>
                      <w:sz w:val="24"/>
                      <w:szCs w:val="24"/>
                    </w:rPr>
                    <w:t>✔</w:t>
                  </w:r>
                </w:p>
              </w:tc>
              <w:tc>
                <w:tcPr>
                  <w:tcW w:w="1851" w:type="dxa"/>
                </w:tcPr>
                <w:p w14:paraId="37382780">
                  <w:pPr>
                    <w:jc w:val="both"/>
                  </w:pPr>
                </w:p>
              </w:tc>
              <w:tc>
                <w:tcPr>
                  <w:tcW w:w="1302" w:type="dxa"/>
                </w:tcPr>
                <w:p w14:paraId="7AFC8C47">
                  <w:pPr>
                    <w:jc w:val="both"/>
                  </w:pPr>
                </w:p>
              </w:tc>
              <w:tc>
                <w:tcPr>
                  <w:tcW w:w="1852" w:type="dxa"/>
                </w:tcPr>
                <w:p w14:paraId="16AE8964">
                  <w:pPr>
                    <w:jc w:val="both"/>
                  </w:pPr>
                </w:p>
              </w:tc>
              <w:tc>
                <w:tcPr>
                  <w:tcW w:w="1141" w:type="dxa"/>
                </w:tcPr>
                <w:p w14:paraId="6E7A9D79">
                  <w:pPr>
                    <w:jc w:val="both"/>
                  </w:pPr>
                </w:p>
              </w:tc>
              <w:tc>
                <w:tcPr>
                  <w:tcW w:w="1852" w:type="dxa"/>
                </w:tcPr>
                <w:p w14:paraId="5282E947">
                  <w:pPr>
                    <w:jc w:val="both"/>
                  </w:pPr>
                </w:p>
              </w:tc>
              <w:tc>
                <w:tcPr>
                  <w:tcW w:w="1392" w:type="dxa"/>
                </w:tcPr>
                <w:p w14:paraId="6B6ACA0C">
                  <w:pPr>
                    <w:jc w:val="both"/>
                  </w:pPr>
                </w:p>
              </w:tc>
              <w:tc>
                <w:tcPr>
                  <w:tcW w:w="1099" w:type="dxa"/>
                </w:tcPr>
                <w:p w14:paraId="24EA7ED2">
                  <w:pPr>
                    <w:jc w:val="both"/>
                  </w:pPr>
                </w:p>
              </w:tc>
            </w:tr>
            <w:tr w14:paraId="6C90995D">
              <w:tblPrEx>
                <w:tblBorders>
                  <w:top w:val="single" w:color="95B3D7" w:sz="4" w:space="0"/>
                  <w:left w:val="single" w:color="95B3D7" w:sz="4" w:space="0"/>
                  <w:bottom w:val="single" w:color="95B3D7" w:sz="4" w:space="0"/>
                  <w:right w:val="single" w:color="95B3D7" w:sz="4" w:space="0"/>
                  <w:insideH w:val="single" w:color="95B3D7" w:sz="4" w:space="0"/>
                  <w:insideV w:val="single" w:color="95B3D7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51" w:type="dxa"/>
                  <w:vAlign w:val="center"/>
                </w:tcPr>
                <w:p w14:paraId="544F857C">
                  <w:pPr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CPMK-5</w:t>
                  </w:r>
                </w:p>
              </w:tc>
              <w:tc>
                <w:tcPr>
                  <w:tcW w:w="1851" w:type="dxa"/>
                  <w:vAlign w:val="center"/>
                </w:tcPr>
                <w:p w14:paraId="1B8C0BC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51" w:type="dxa"/>
                  <w:vAlign w:val="center"/>
                </w:tcPr>
                <w:p w14:paraId="50A5D9F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51" w:type="dxa"/>
                  <w:vAlign w:val="center"/>
                </w:tcPr>
                <w:p w14:paraId="4E59C21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51" w:type="dxa"/>
                  <w:vAlign w:val="center"/>
                </w:tcPr>
                <w:p w14:paraId="012A1B8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51" w:type="dxa"/>
                  <w:vAlign w:val="center"/>
                </w:tcPr>
                <w:p w14:paraId="134B1B4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 w:ascii="MS Gothic" w:hAnsi="MS Gothic" w:eastAsia="MS Gothic" w:cs="MS Gothic"/>
                      <w:sz w:val="24"/>
                      <w:szCs w:val="24"/>
                    </w:rPr>
                    <w:t>✔</w:t>
                  </w:r>
                </w:p>
              </w:tc>
              <w:tc>
                <w:tcPr>
                  <w:tcW w:w="1851" w:type="dxa"/>
                </w:tcPr>
                <w:p w14:paraId="53BAEAE4">
                  <w:pPr>
                    <w:jc w:val="both"/>
                  </w:pPr>
                </w:p>
              </w:tc>
              <w:tc>
                <w:tcPr>
                  <w:tcW w:w="1302" w:type="dxa"/>
                </w:tcPr>
                <w:p w14:paraId="43A08DC1">
                  <w:pPr>
                    <w:jc w:val="both"/>
                  </w:pPr>
                </w:p>
              </w:tc>
              <w:tc>
                <w:tcPr>
                  <w:tcW w:w="1852" w:type="dxa"/>
                </w:tcPr>
                <w:p w14:paraId="3875A0E9">
                  <w:pPr>
                    <w:jc w:val="both"/>
                  </w:pPr>
                </w:p>
              </w:tc>
              <w:tc>
                <w:tcPr>
                  <w:tcW w:w="1141" w:type="dxa"/>
                </w:tcPr>
                <w:p w14:paraId="3D95DD21">
                  <w:pPr>
                    <w:jc w:val="both"/>
                  </w:pPr>
                </w:p>
              </w:tc>
              <w:tc>
                <w:tcPr>
                  <w:tcW w:w="1852" w:type="dxa"/>
                </w:tcPr>
                <w:p w14:paraId="3E0B4107">
                  <w:pPr>
                    <w:jc w:val="both"/>
                  </w:pPr>
                </w:p>
              </w:tc>
              <w:tc>
                <w:tcPr>
                  <w:tcW w:w="1392" w:type="dxa"/>
                </w:tcPr>
                <w:p w14:paraId="175AAE85">
                  <w:pPr>
                    <w:jc w:val="both"/>
                  </w:pPr>
                </w:p>
              </w:tc>
              <w:tc>
                <w:tcPr>
                  <w:tcW w:w="1099" w:type="dxa"/>
                </w:tcPr>
                <w:p w14:paraId="6BF6639C">
                  <w:pPr>
                    <w:jc w:val="both"/>
                  </w:pPr>
                </w:p>
              </w:tc>
            </w:tr>
          </w:tbl>
          <w:p w14:paraId="13067D4C">
            <w:pPr>
              <w:jc w:val="both"/>
              <w:rPr>
                <w:rFonts w:eastAsia="Calibri"/>
              </w:rPr>
            </w:pPr>
          </w:p>
        </w:tc>
      </w:tr>
      <w:tr w14:paraId="553231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549" w:type="dxa"/>
            <w:gridSpan w:val="2"/>
          </w:tcPr>
          <w:p w14:paraId="45A7F3E3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DeskripsiSingkat MK</w:t>
            </w:r>
          </w:p>
        </w:tc>
        <w:tc>
          <w:tcPr>
            <w:tcW w:w="11357" w:type="dxa"/>
            <w:gridSpan w:val="14"/>
          </w:tcPr>
          <w:p w14:paraId="4B3E73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Mata kuliah ini membahas prinsip dasar </w:t>
            </w:r>
            <w:r>
              <w:rPr>
                <w:rStyle w:val="16"/>
                <w:rFonts w:eastAsiaTheme="majorEastAsia"/>
                <w:sz w:val="24"/>
                <w:szCs w:val="24"/>
              </w:rPr>
              <w:t>kimia dan fisika</w:t>
            </w:r>
            <w:r>
              <w:rPr>
                <w:sz w:val="24"/>
                <w:szCs w:val="24"/>
              </w:rPr>
              <w:t xml:space="preserve"> yang berperan dalam pengelolaan </w:t>
            </w:r>
            <w:r>
              <w:rPr>
                <w:rStyle w:val="16"/>
                <w:rFonts w:eastAsiaTheme="majorEastAsia"/>
                <w:sz w:val="24"/>
                <w:szCs w:val="24"/>
              </w:rPr>
              <w:t>Keselamatan dan Kesehatan Kerja (K3)</w:t>
            </w:r>
            <w:r>
              <w:rPr>
                <w:sz w:val="24"/>
                <w:szCs w:val="24"/>
              </w:rPr>
              <w:t xml:space="preserve">. Mahasiswa mempelajari karakteristik bahan kimia berbahaya, bahaya fisik (panas, kebisingan, radiasi, getaran, pencahayaan), serta penerapan metode ilmiah dalam </w:t>
            </w:r>
            <w:r>
              <w:rPr>
                <w:rStyle w:val="16"/>
                <w:rFonts w:eastAsiaTheme="majorEastAsia"/>
                <w:sz w:val="24"/>
                <w:szCs w:val="24"/>
              </w:rPr>
              <w:t>identifikasi, pengukuran, dan pengendalian risiko</w:t>
            </w:r>
            <w:r>
              <w:rPr>
                <w:sz w:val="24"/>
                <w:szCs w:val="24"/>
              </w:rPr>
              <w:t xml:space="preserve"> di lingkungan kerja.</w:t>
            </w:r>
          </w:p>
        </w:tc>
      </w:tr>
      <w:tr w14:paraId="5D28E4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549" w:type="dxa"/>
            <w:gridSpan w:val="2"/>
          </w:tcPr>
          <w:p w14:paraId="272BA759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Bahan Kajian: </w:t>
            </w:r>
          </w:p>
          <w:p w14:paraId="5D93BB4D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Materi Pembelajaran</w:t>
            </w:r>
          </w:p>
        </w:tc>
        <w:tc>
          <w:tcPr>
            <w:tcW w:w="11357" w:type="dxa"/>
            <w:gridSpan w:val="14"/>
          </w:tcPr>
          <w:p w14:paraId="5D08054D">
            <w:pPr>
              <w:pStyle w:val="15"/>
              <w:numPr>
                <w:ilvl w:val="0"/>
                <w:numId w:val="1"/>
              </w:numPr>
            </w:pPr>
            <w:r>
              <w:t>Konsep dasar kimia dan fisika dalam K3</w:t>
            </w:r>
          </w:p>
          <w:p w14:paraId="21ACCCA4">
            <w:pPr>
              <w:pStyle w:val="15"/>
              <w:numPr>
                <w:ilvl w:val="0"/>
                <w:numId w:val="1"/>
              </w:numPr>
            </w:pPr>
            <w:r>
              <w:t>Sifat fisika dan kimia bahan berbahaya</w:t>
            </w:r>
          </w:p>
          <w:p w14:paraId="75B0AE69">
            <w:pPr>
              <w:pStyle w:val="15"/>
              <w:numPr>
                <w:ilvl w:val="0"/>
                <w:numId w:val="1"/>
              </w:numPr>
            </w:pPr>
            <w:r>
              <w:t>Bahaya kimia toksisitas, bahan mudah terbakar, korosif, reaktif</w:t>
            </w:r>
          </w:p>
          <w:p w14:paraId="1130A8F4">
            <w:pPr>
              <w:pStyle w:val="15"/>
              <w:numPr>
                <w:ilvl w:val="0"/>
                <w:numId w:val="1"/>
              </w:numPr>
            </w:pPr>
            <w:r>
              <w:t>Bahaya fisik: kebisingan, getaran, panas, radiasi, pencahayaan</w:t>
            </w:r>
          </w:p>
          <w:p w14:paraId="61E90C60">
            <w:pPr>
              <w:pStyle w:val="15"/>
              <w:numPr>
                <w:ilvl w:val="0"/>
                <w:numId w:val="1"/>
              </w:numPr>
            </w:pPr>
            <w:r>
              <w:t>Pengukuran paparan fisik dan kimia</w:t>
            </w:r>
          </w:p>
          <w:p w14:paraId="4D0677BE">
            <w:pPr>
              <w:pStyle w:val="15"/>
              <w:numPr>
                <w:ilvl w:val="0"/>
                <w:numId w:val="1"/>
              </w:numPr>
            </w:pPr>
            <w:r>
              <w:t>Interpretasi hasil pengukuran dan pengendalian risiko</w:t>
            </w:r>
          </w:p>
          <w:p w14:paraId="705320AC">
            <w:pPr>
              <w:pStyle w:val="15"/>
              <w:numPr>
                <w:ilvl w:val="0"/>
                <w:numId w:val="1"/>
              </w:numPr>
            </w:pPr>
            <w:r>
              <w:t>Hierarki pengendalian, APD, ventilasi, dan substitusi bahan</w:t>
            </w:r>
          </w:p>
          <w:p w14:paraId="0856B4F1">
            <w:pPr>
              <w:pStyle w:val="15"/>
              <w:numPr>
                <w:ilvl w:val="0"/>
                <w:numId w:val="1"/>
              </w:numPr>
            </w:pPr>
            <w:r>
              <w:t>Penulisan laporan ilmiah dan komunikasi risiko</w:t>
            </w:r>
          </w:p>
        </w:tc>
      </w:tr>
      <w:tr w14:paraId="238239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9" w:type="dxa"/>
            <w:gridSpan w:val="2"/>
            <w:vMerge w:val="restart"/>
          </w:tcPr>
          <w:p w14:paraId="22CD6336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Pustaka</w:t>
            </w:r>
          </w:p>
        </w:tc>
        <w:tc>
          <w:tcPr>
            <w:tcW w:w="2374" w:type="dxa"/>
            <w:gridSpan w:val="2"/>
            <w:tcBorders>
              <w:bottom w:val="single" w:color="000000" w:sz="8" w:space="0"/>
            </w:tcBorders>
            <w:shd w:val="clear" w:color="auto" w:fill="E7E6E6"/>
          </w:tcPr>
          <w:p w14:paraId="128EA15D">
            <w:pPr>
              <w:ind w:left="26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Utama:</w:t>
            </w:r>
          </w:p>
        </w:tc>
        <w:tc>
          <w:tcPr>
            <w:tcW w:w="8983" w:type="dxa"/>
            <w:gridSpan w:val="12"/>
            <w:tcBorders>
              <w:bottom w:val="single" w:color="000000" w:sz="4" w:space="0"/>
            </w:tcBorders>
          </w:tcPr>
          <w:p w14:paraId="65EF1620">
            <w:pPr>
              <w:ind w:left="26"/>
              <w:rPr>
                <w:rFonts w:eastAsia="Calibri"/>
                <w:b/>
              </w:rPr>
            </w:pPr>
          </w:p>
        </w:tc>
      </w:tr>
      <w:tr w14:paraId="02E56A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9" w:type="dxa"/>
            <w:gridSpan w:val="2"/>
            <w:vMerge w:val="continue"/>
          </w:tcPr>
          <w:p w14:paraId="0319F69B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eastAsia="Calibri"/>
                <w:b/>
              </w:rPr>
            </w:pPr>
          </w:p>
        </w:tc>
        <w:tc>
          <w:tcPr>
            <w:tcW w:w="11357" w:type="dxa"/>
            <w:gridSpan w:val="14"/>
          </w:tcPr>
          <w:p w14:paraId="276D1C93">
            <w:pPr>
              <w:pStyle w:val="15"/>
              <w:numPr>
                <w:ilvl w:val="0"/>
                <w:numId w:val="2"/>
              </w:numPr>
              <w:ind w:left="753" w:hanging="284"/>
            </w:pPr>
            <w:r>
              <w:t xml:space="preserve">Bridgman, P. W. (2019). </w:t>
            </w:r>
            <w:r>
              <w:rPr>
                <w:rStyle w:val="14"/>
                <w:rFonts w:eastAsiaTheme="majorEastAsia"/>
              </w:rPr>
              <w:t>The Physics of Industrial Hazards</w:t>
            </w:r>
            <w:r>
              <w:t>. McGraw-Hill.</w:t>
            </w:r>
          </w:p>
          <w:p w14:paraId="2BCCE3BD">
            <w:pPr>
              <w:pStyle w:val="15"/>
              <w:numPr>
                <w:ilvl w:val="0"/>
                <w:numId w:val="2"/>
              </w:numPr>
              <w:ind w:left="753" w:hanging="284"/>
            </w:pPr>
            <w:r>
              <w:t xml:space="preserve">Suma’mur, P. K. (2018). </w:t>
            </w:r>
            <w:r>
              <w:rPr>
                <w:rStyle w:val="14"/>
                <w:rFonts w:eastAsiaTheme="majorEastAsia"/>
              </w:rPr>
              <w:t>Higiene Perusahaan dan Kesehatan Kerja (HIPERKES)</w:t>
            </w:r>
            <w:r>
              <w:t>. Jakarta: Sagung Seto.</w:t>
            </w:r>
          </w:p>
          <w:p w14:paraId="35B10474">
            <w:pPr>
              <w:pStyle w:val="15"/>
              <w:numPr>
                <w:ilvl w:val="0"/>
                <w:numId w:val="2"/>
              </w:numPr>
              <w:ind w:left="753" w:hanging="284"/>
            </w:pPr>
            <w:r>
              <w:t xml:space="preserve">Tarwaka. (2021). </w:t>
            </w:r>
            <w:r>
              <w:rPr>
                <w:rStyle w:val="14"/>
                <w:rFonts w:eastAsiaTheme="majorEastAsia"/>
              </w:rPr>
              <w:t>Keselamatan dan Kesehatan Kerja: Manajemen dan Implementasi K3 di Tempat Kerja</w:t>
            </w:r>
            <w:r>
              <w:t>. Surakarta: Harapan Press.</w:t>
            </w:r>
          </w:p>
        </w:tc>
      </w:tr>
      <w:tr w14:paraId="1E6A28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9" w:type="dxa"/>
            <w:gridSpan w:val="2"/>
            <w:vMerge w:val="continue"/>
          </w:tcPr>
          <w:p w14:paraId="15394106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eastAsia="Calibri"/>
                <w:color w:val="000000"/>
                <w:lang w:val="sv-SE"/>
              </w:rPr>
            </w:pPr>
          </w:p>
        </w:tc>
        <w:tc>
          <w:tcPr>
            <w:tcW w:w="2374" w:type="dxa"/>
            <w:gridSpan w:val="2"/>
            <w:tcBorders>
              <w:top w:val="single" w:color="000000" w:sz="8" w:space="0"/>
            </w:tcBorders>
            <w:shd w:val="clear" w:color="auto" w:fill="E7E6E6"/>
          </w:tcPr>
          <w:p w14:paraId="62B41140">
            <w:pPr>
              <w:rPr>
                <w:rFonts w:eastAsia="Calibri"/>
              </w:rPr>
            </w:pPr>
            <w:r>
              <w:rPr>
                <w:rFonts w:eastAsia="Calibri"/>
                <w:b/>
                <w:color w:val="000000"/>
              </w:rPr>
              <w:t>Pendukung:</w:t>
            </w:r>
          </w:p>
        </w:tc>
        <w:tc>
          <w:tcPr>
            <w:tcW w:w="8983" w:type="dxa"/>
            <w:gridSpan w:val="12"/>
            <w:tcBorders>
              <w:top w:val="single" w:color="FFFFFF" w:sz="8" w:space="0"/>
            </w:tcBorders>
          </w:tcPr>
          <w:p w14:paraId="7252CEB9">
            <w:pPr>
              <w:rPr>
                <w:rFonts w:eastAsia="Calibri"/>
              </w:rPr>
            </w:pPr>
          </w:p>
        </w:tc>
      </w:tr>
      <w:tr w14:paraId="75FE1C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549" w:type="dxa"/>
            <w:gridSpan w:val="2"/>
            <w:vMerge w:val="continue"/>
          </w:tcPr>
          <w:p w14:paraId="1B1D571F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eastAsia="Calibri"/>
              </w:rPr>
            </w:pPr>
          </w:p>
        </w:tc>
        <w:tc>
          <w:tcPr>
            <w:tcW w:w="11357" w:type="dxa"/>
            <w:gridSpan w:val="14"/>
          </w:tcPr>
          <w:p w14:paraId="60E177AB">
            <w:pPr>
              <w:pStyle w:val="15"/>
              <w:numPr>
                <w:ilvl w:val="0"/>
                <w:numId w:val="3"/>
              </w:numPr>
            </w:pPr>
            <w:r>
              <w:t xml:space="preserve">ACGIH. (2023). </w:t>
            </w:r>
            <w:r>
              <w:rPr>
                <w:rStyle w:val="14"/>
                <w:rFonts w:eastAsiaTheme="majorEastAsia"/>
              </w:rPr>
              <w:t>Industrial Ventilation: A Manual of Recommended Practice</w:t>
            </w:r>
            <w:r>
              <w:t>.</w:t>
            </w:r>
          </w:p>
          <w:p w14:paraId="78B4FC7F">
            <w:pPr>
              <w:pStyle w:val="15"/>
              <w:numPr>
                <w:ilvl w:val="0"/>
                <w:numId w:val="3"/>
              </w:numPr>
            </w:pPr>
            <w:r>
              <w:t xml:space="preserve">ILO (2021). </w:t>
            </w:r>
            <w:r>
              <w:rPr>
                <w:rStyle w:val="14"/>
                <w:rFonts w:eastAsiaTheme="majorEastAsia"/>
              </w:rPr>
              <w:t>Occupational Safety and Health Guidelines</w:t>
            </w:r>
            <w:r>
              <w:t>.</w:t>
            </w:r>
          </w:p>
          <w:p w14:paraId="7D4B1EE8">
            <w:pPr>
              <w:pStyle w:val="15"/>
              <w:numPr>
                <w:ilvl w:val="0"/>
                <w:numId w:val="3"/>
              </w:numPr>
            </w:pPr>
            <w:r>
              <w:t>Permenaker No. 5 Tahun 2018 tentang K3 Lingkungan Kerja</w:t>
            </w:r>
          </w:p>
        </w:tc>
      </w:tr>
      <w:tr w14:paraId="1D1F3B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9" w:type="dxa"/>
            <w:gridSpan w:val="2"/>
          </w:tcPr>
          <w:p w14:paraId="4E042CCA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Dosen Pengampu</w:t>
            </w:r>
          </w:p>
        </w:tc>
        <w:tc>
          <w:tcPr>
            <w:tcW w:w="11357" w:type="dxa"/>
            <w:gridSpan w:val="14"/>
          </w:tcPr>
          <w:p w14:paraId="068D8E9D">
            <w:pPr>
              <w:rPr>
                <w:rFonts w:eastAsia="Calibri"/>
                <w:lang w:val="sv-SE"/>
              </w:rPr>
            </w:pPr>
          </w:p>
        </w:tc>
      </w:tr>
      <w:tr w14:paraId="6CC1B6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9" w:type="dxa"/>
            <w:gridSpan w:val="2"/>
          </w:tcPr>
          <w:p w14:paraId="57CC139F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Modalitas dan Matakuliahprasyarat</w:t>
            </w:r>
          </w:p>
        </w:tc>
        <w:tc>
          <w:tcPr>
            <w:tcW w:w="11357" w:type="dxa"/>
            <w:gridSpan w:val="14"/>
          </w:tcPr>
          <w:p w14:paraId="2EEFC659">
            <w:pPr>
              <w:rPr>
                <w:rFonts w:eastAsia="Calibri"/>
                <w:lang w:val="sv-SE"/>
              </w:rPr>
            </w:pPr>
          </w:p>
        </w:tc>
      </w:tr>
      <w:tr w14:paraId="4D7C59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732" w:type="dxa"/>
            <w:vMerge w:val="restart"/>
            <w:shd w:val="clear" w:color="auto" w:fill="E7E6E6"/>
            <w:vAlign w:val="center"/>
          </w:tcPr>
          <w:p w14:paraId="1E39C080">
            <w:pPr>
              <w:ind w:left="-90" w:right="-108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Mg Ke-</w:t>
            </w:r>
          </w:p>
        </w:tc>
        <w:tc>
          <w:tcPr>
            <w:tcW w:w="2093" w:type="dxa"/>
            <w:gridSpan w:val="2"/>
            <w:vMerge w:val="restart"/>
            <w:shd w:val="clear" w:color="auto" w:fill="E7E6E6"/>
            <w:vAlign w:val="center"/>
          </w:tcPr>
          <w:p w14:paraId="5541973C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Kemampuanakhirtiaptahapanbelajar</w:t>
            </w:r>
          </w:p>
          <w:p w14:paraId="0187A059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(Sub-CPMK)</w:t>
            </w:r>
          </w:p>
        </w:tc>
        <w:tc>
          <w:tcPr>
            <w:tcW w:w="3824" w:type="dxa"/>
            <w:gridSpan w:val="4"/>
            <w:shd w:val="clear" w:color="auto" w:fill="E7E6E6"/>
            <w:vAlign w:val="center"/>
          </w:tcPr>
          <w:p w14:paraId="317875C4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Penilaian</w:t>
            </w:r>
          </w:p>
        </w:tc>
        <w:tc>
          <w:tcPr>
            <w:tcW w:w="3558" w:type="dxa"/>
            <w:gridSpan w:val="6"/>
            <w:shd w:val="clear" w:color="auto" w:fill="E7E6E6"/>
          </w:tcPr>
          <w:p w14:paraId="0EB76E34">
            <w:pPr>
              <w:jc w:val="center"/>
              <w:rPr>
                <w:rFonts w:eastAsia="Calibri"/>
                <w:b/>
                <w:lang w:val="sv-SE"/>
              </w:rPr>
            </w:pPr>
            <w:r>
              <w:rPr>
                <w:rFonts w:eastAsia="Calibri"/>
                <w:b/>
                <w:lang w:val="sv-SE"/>
              </w:rPr>
              <w:t>Bantuk Pembelajaran,</w:t>
            </w:r>
          </w:p>
          <w:p w14:paraId="41E58821">
            <w:pPr>
              <w:jc w:val="center"/>
              <w:rPr>
                <w:rFonts w:eastAsia="Calibri"/>
                <w:b/>
                <w:lang w:val="sv-SE"/>
              </w:rPr>
            </w:pPr>
            <w:r>
              <w:rPr>
                <w:rFonts w:eastAsia="Calibri"/>
                <w:b/>
                <w:lang w:val="sv-SE"/>
              </w:rPr>
              <w:t xml:space="preserve">Metode Pembelajaran, </w:t>
            </w:r>
          </w:p>
          <w:p w14:paraId="4F3DD615">
            <w:pPr>
              <w:jc w:val="center"/>
              <w:rPr>
                <w:rFonts w:eastAsia="Calibri"/>
                <w:b/>
                <w:lang w:val="sv-SE"/>
              </w:rPr>
            </w:pPr>
            <w:r>
              <w:rPr>
                <w:rFonts w:eastAsia="Calibri"/>
                <w:b/>
                <w:lang w:val="sv-SE"/>
              </w:rPr>
              <w:t>Penugasan Mahasiswa,</w:t>
            </w:r>
          </w:p>
          <w:p w14:paraId="3C17239F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  <w:color w:val="0000FF"/>
              </w:rPr>
              <w:t>[ Estimasi Waktu]</w:t>
            </w:r>
          </w:p>
        </w:tc>
        <w:tc>
          <w:tcPr>
            <w:tcW w:w="1559" w:type="dxa"/>
            <w:gridSpan w:val="2"/>
            <w:vMerge w:val="restart"/>
            <w:shd w:val="clear" w:color="auto" w:fill="E7E6E6"/>
            <w:vAlign w:val="center"/>
          </w:tcPr>
          <w:p w14:paraId="61057B67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Materi Pembelajaran</w:t>
            </w:r>
          </w:p>
          <w:p w14:paraId="316546F2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  <w:color w:val="0000FF"/>
              </w:rPr>
              <w:t>[ Pustaka ]</w:t>
            </w:r>
          </w:p>
        </w:tc>
        <w:tc>
          <w:tcPr>
            <w:tcW w:w="1140" w:type="dxa"/>
            <w:vMerge w:val="restart"/>
            <w:shd w:val="clear" w:color="auto" w:fill="E7E6E6"/>
            <w:vAlign w:val="center"/>
          </w:tcPr>
          <w:p w14:paraId="0D4186F0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BobotPenilaian (%)</w:t>
            </w:r>
          </w:p>
        </w:tc>
      </w:tr>
      <w:tr w14:paraId="19658F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732" w:type="dxa"/>
            <w:vMerge w:val="continue"/>
            <w:shd w:val="clear" w:color="auto" w:fill="E7E6E6"/>
            <w:vAlign w:val="center"/>
          </w:tcPr>
          <w:p w14:paraId="5908E70A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eastAsia="Calibri"/>
                <w:b/>
              </w:rPr>
            </w:pPr>
          </w:p>
        </w:tc>
        <w:tc>
          <w:tcPr>
            <w:tcW w:w="2093" w:type="dxa"/>
            <w:gridSpan w:val="2"/>
            <w:vMerge w:val="continue"/>
            <w:shd w:val="clear" w:color="auto" w:fill="E7E6E6"/>
            <w:vAlign w:val="center"/>
          </w:tcPr>
          <w:p w14:paraId="69B6CC34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eastAsia="Calibri"/>
                <w:b/>
              </w:rPr>
            </w:pPr>
          </w:p>
        </w:tc>
        <w:tc>
          <w:tcPr>
            <w:tcW w:w="1700" w:type="dxa"/>
            <w:gridSpan w:val="2"/>
            <w:shd w:val="clear" w:color="auto" w:fill="E7E6E6"/>
          </w:tcPr>
          <w:p w14:paraId="69CD3759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Indikator</w:t>
            </w:r>
          </w:p>
        </w:tc>
        <w:tc>
          <w:tcPr>
            <w:tcW w:w="2124" w:type="dxa"/>
            <w:gridSpan w:val="2"/>
            <w:shd w:val="clear" w:color="auto" w:fill="E7E6E6"/>
          </w:tcPr>
          <w:p w14:paraId="4F1DD251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Kriteria&amp; Teknik</w:t>
            </w:r>
          </w:p>
        </w:tc>
        <w:tc>
          <w:tcPr>
            <w:tcW w:w="1703" w:type="dxa"/>
            <w:gridSpan w:val="3"/>
            <w:shd w:val="clear" w:color="auto" w:fill="E7E6E6"/>
          </w:tcPr>
          <w:p w14:paraId="7E291952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Luring (</w:t>
            </w:r>
            <w:r>
              <w:rPr>
                <w:rFonts w:eastAsia="Calibri"/>
                <w:b/>
                <w:i/>
              </w:rPr>
              <w:t>offline</w:t>
            </w:r>
            <w:r>
              <w:rPr>
                <w:rFonts w:eastAsia="Calibri"/>
                <w:b/>
              </w:rPr>
              <w:t>)</w:t>
            </w:r>
          </w:p>
        </w:tc>
        <w:tc>
          <w:tcPr>
            <w:tcW w:w="1855" w:type="dxa"/>
            <w:gridSpan w:val="3"/>
            <w:shd w:val="clear" w:color="auto" w:fill="E7E6E6"/>
          </w:tcPr>
          <w:p w14:paraId="5E5D736C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Daring (</w:t>
            </w:r>
            <w:r>
              <w:rPr>
                <w:rFonts w:eastAsia="Calibri"/>
                <w:b/>
                <w:i/>
              </w:rPr>
              <w:t>online</w:t>
            </w:r>
            <w:r>
              <w:rPr>
                <w:rFonts w:eastAsia="Calibri"/>
                <w:b/>
              </w:rPr>
              <w:t>)</w:t>
            </w:r>
          </w:p>
        </w:tc>
        <w:tc>
          <w:tcPr>
            <w:tcW w:w="1559" w:type="dxa"/>
            <w:gridSpan w:val="2"/>
            <w:vMerge w:val="continue"/>
            <w:shd w:val="clear" w:color="auto" w:fill="E7E6E6"/>
            <w:vAlign w:val="center"/>
          </w:tcPr>
          <w:p w14:paraId="13991BBD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eastAsia="Calibri"/>
                <w:b/>
              </w:rPr>
            </w:pPr>
          </w:p>
        </w:tc>
        <w:tc>
          <w:tcPr>
            <w:tcW w:w="1140" w:type="dxa"/>
            <w:vMerge w:val="continue"/>
            <w:shd w:val="clear" w:color="auto" w:fill="E7E6E6"/>
            <w:vAlign w:val="center"/>
          </w:tcPr>
          <w:p w14:paraId="3603BE45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eastAsia="Calibri"/>
                <w:b/>
              </w:rPr>
            </w:pPr>
          </w:p>
        </w:tc>
      </w:tr>
      <w:tr w14:paraId="54D7DC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732" w:type="dxa"/>
            <w:shd w:val="clear" w:color="auto" w:fill="E7E6E6"/>
          </w:tcPr>
          <w:p w14:paraId="7D507948">
            <w:pPr>
              <w:ind w:left="-90" w:right="-108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(1)</w:t>
            </w:r>
          </w:p>
        </w:tc>
        <w:tc>
          <w:tcPr>
            <w:tcW w:w="2093" w:type="dxa"/>
            <w:gridSpan w:val="2"/>
            <w:shd w:val="clear" w:color="auto" w:fill="E7E6E6"/>
          </w:tcPr>
          <w:p w14:paraId="01D280C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(2)</w:t>
            </w:r>
          </w:p>
        </w:tc>
        <w:tc>
          <w:tcPr>
            <w:tcW w:w="1700" w:type="dxa"/>
            <w:gridSpan w:val="2"/>
            <w:shd w:val="clear" w:color="auto" w:fill="E7E6E6"/>
          </w:tcPr>
          <w:p w14:paraId="29281A24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(3)</w:t>
            </w:r>
          </w:p>
        </w:tc>
        <w:tc>
          <w:tcPr>
            <w:tcW w:w="2124" w:type="dxa"/>
            <w:gridSpan w:val="2"/>
            <w:shd w:val="clear" w:color="auto" w:fill="E7E6E6"/>
          </w:tcPr>
          <w:p w14:paraId="05322E7B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(4)</w:t>
            </w:r>
          </w:p>
        </w:tc>
        <w:tc>
          <w:tcPr>
            <w:tcW w:w="1703" w:type="dxa"/>
            <w:gridSpan w:val="3"/>
            <w:shd w:val="clear" w:color="auto" w:fill="E7E6E6"/>
          </w:tcPr>
          <w:p w14:paraId="2AA4841E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(5)</w:t>
            </w:r>
          </w:p>
        </w:tc>
        <w:tc>
          <w:tcPr>
            <w:tcW w:w="1855" w:type="dxa"/>
            <w:gridSpan w:val="3"/>
            <w:shd w:val="clear" w:color="auto" w:fill="E7E6E6"/>
          </w:tcPr>
          <w:p w14:paraId="791087B0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(6)</w:t>
            </w:r>
          </w:p>
        </w:tc>
        <w:tc>
          <w:tcPr>
            <w:tcW w:w="1559" w:type="dxa"/>
            <w:gridSpan w:val="2"/>
            <w:shd w:val="clear" w:color="auto" w:fill="E7E6E6"/>
          </w:tcPr>
          <w:p w14:paraId="2EC1C0C2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(7)</w:t>
            </w:r>
          </w:p>
        </w:tc>
        <w:tc>
          <w:tcPr>
            <w:tcW w:w="1140" w:type="dxa"/>
            <w:shd w:val="clear" w:color="auto" w:fill="E7E6E6"/>
          </w:tcPr>
          <w:p w14:paraId="205E02F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(8)</w:t>
            </w:r>
          </w:p>
        </w:tc>
      </w:tr>
      <w:tr w14:paraId="2F2049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2" w:type="dxa"/>
          </w:tcPr>
          <w:p w14:paraId="148EB35A">
            <w:pPr>
              <w:ind w:left="-90" w:right="-108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</w:t>
            </w:r>
          </w:p>
        </w:tc>
        <w:tc>
          <w:tcPr>
            <w:tcW w:w="2093" w:type="dxa"/>
            <w:gridSpan w:val="2"/>
            <w:vAlign w:val="center"/>
          </w:tcPr>
          <w:p w14:paraId="3B8C66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Memahami peran ilmu kimia dan fisika dalam bidang K3</w:t>
            </w:r>
          </w:p>
        </w:tc>
        <w:tc>
          <w:tcPr>
            <w:tcW w:w="1700" w:type="dxa"/>
            <w:gridSpan w:val="2"/>
            <w:vAlign w:val="center"/>
          </w:tcPr>
          <w:p w14:paraId="4E6382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Ringkasan materi</w:t>
            </w:r>
          </w:p>
        </w:tc>
        <w:tc>
          <w:tcPr>
            <w:tcW w:w="2124" w:type="dxa"/>
            <w:gridSpan w:val="2"/>
            <w:vAlign w:val="center"/>
          </w:tcPr>
          <w:p w14:paraId="14B5FF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Ketepatan isi, keaktifan</w:t>
            </w:r>
          </w:p>
        </w:tc>
        <w:tc>
          <w:tcPr>
            <w:tcW w:w="1703" w:type="dxa"/>
            <w:gridSpan w:val="3"/>
            <w:vAlign w:val="center"/>
          </w:tcPr>
          <w:p w14:paraId="33C66E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Ceramah interaktif, diskusi kelas</w:t>
            </w:r>
          </w:p>
        </w:tc>
        <w:tc>
          <w:tcPr>
            <w:tcW w:w="1855" w:type="dxa"/>
            <w:gridSpan w:val="3"/>
          </w:tcPr>
          <w:p w14:paraId="68714F8B">
            <w:pPr>
              <w:rPr>
                <w:rFonts w:eastAsia="Calibri"/>
                <w:b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B656A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Pengantar Kimia dan Fisika dalam K3; hubungan bahaya fisika &amp; kimia dengan keselamatan kerja</w:t>
            </w:r>
          </w:p>
        </w:tc>
        <w:tc>
          <w:tcPr>
            <w:tcW w:w="1140" w:type="dxa"/>
            <w:vAlign w:val="center"/>
          </w:tcPr>
          <w:p w14:paraId="4A0C31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14:paraId="62C762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2" w:type="dxa"/>
          </w:tcPr>
          <w:p w14:paraId="4E524E59">
            <w:pPr>
              <w:ind w:left="-90" w:right="-108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</w:t>
            </w:r>
          </w:p>
        </w:tc>
        <w:tc>
          <w:tcPr>
            <w:tcW w:w="2093" w:type="dxa"/>
            <w:gridSpan w:val="2"/>
            <w:vAlign w:val="center"/>
          </w:tcPr>
          <w:p w14:paraId="61F5D3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Menjelaskan sifat fisika dan kimia bahan di tempat kerja</w:t>
            </w:r>
          </w:p>
        </w:tc>
        <w:tc>
          <w:tcPr>
            <w:tcW w:w="1700" w:type="dxa"/>
            <w:gridSpan w:val="2"/>
            <w:vAlign w:val="center"/>
          </w:tcPr>
          <w:p w14:paraId="5CA97D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Quiz</w:t>
            </w:r>
          </w:p>
        </w:tc>
        <w:tc>
          <w:tcPr>
            <w:tcW w:w="2124" w:type="dxa"/>
            <w:gridSpan w:val="2"/>
            <w:vAlign w:val="center"/>
          </w:tcPr>
          <w:p w14:paraId="60DA3A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Tes tertulis</w:t>
            </w:r>
          </w:p>
        </w:tc>
        <w:tc>
          <w:tcPr>
            <w:tcW w:w="1703" w:type="dxa"/>
            <w:gridSpan w:val="3"/>
            <w:vAlign w:val="center"/>
          </w:tcPr>
          <w:p w14:paraId="1EB5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Ceramah, tanya jawab</w:t>
            </w:r>
          </w:p>
        </w:tc>
        <w:tc>
          <w:tcPr>
            <w:tcW w:w="1855" w:type="dxa"/>
            <w:gridSpan w:val="3"/>
          </w:tcPr>
          <w:p w14:paraId="4C9C21F0">
            <w:pPr>
              <w:rPr>
                <w:rFonts w:eastAsia="Calibri"/>
                <w:b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837BF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Struktur atom, ikatan kimia, sifat bahan kimia</w:t>
            </w:r>
          </w:p>
        </w:tc>
        <w:tc>
          <w:tcPr>
            <w:tcW w:w="1140" w:type="dxa"/>
            <w:vAlign w:val="center"/>
          </w:tcPr>
          <w:p w14:paraId="254EE6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14:paraId="3FF86C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2" w:type="dxa"/>
          </w:tcPr>
          <w:p w14:paraId="5E56A326">
            <w:pPr>
              <w:ind w:left="-90" w:right="-108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3-4</w:t>
            </w:r>
          </w:p>
        </w:tc>
        <w:tc>
          <w:tcPr>
            <w:tcW w:w="2093" w:type="dxa"/>
            <w:gridSpan w:val="2"/>
            <w:vAlign w:val="center"/>
          </w:tcPr>
          <w:p w14:paraId="0D2638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Mengidentifikasi bahaya kimia di lingkungan kerja</w:t>
            </w:r>
          </w:p>
        </w:tc>
        <w:tc>
          <w:tcPr>
            <w:tcW w:w="1700" w:type="dxa"/>
            <w:gridSpan w:val="2"/>
            <w:vAlign w:val="center"/>
          </w:tcPr>
          <w:p w14:paraId="7CDDB6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Tugas analisis MSDS</w:t>
            </w:r>
          </w:p>
        </w:tc>
        <w:tc>
          <w:tcPr>
            <w:tcW w:w="2124" w:type="dxa"/>
            <w:gridSpan w:val="2"/>
            <w:vAlign w:val="center"/>
          </w:tcPr>
          <w:p w14:paraId="25E57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Ketepatan klasifikasi bahan</w:t>
            </w:r>
          </w:p>
        </w:tc>
        <w:tc>
          <w:tcPr>
            <w:tcW w:w="1703" w:type="dxa"/>
            <w:gridSpan w:val="3"/>
            <w:vAlign w:val="center"/>
          </w:tcPr>
          <w:p w14:paraId="1433ED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Ceramah, studi kasus</w:t>
            </w:r>
          </w:p>
        </w:tc>
        <w:tc>
          <w:tcPr>
            <w:tcW w:w="1855" w:type="dxa"/>
            <w:gridSpan w:val="3"/>
          </w:tcPr>
          <w:p w14:paraId="7216ED17">
            <w:pPr>
              <w:rPr>
                <w:rFonts w:eastAsia="Calibri"/>
                <w:b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4C221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Jenis bahan kimia berbahaya, toksisitas, penggolongan B3, simbol bahaya GHS</w:t>
            </w:r>
          </w:p>
        </w:tc>
        <w:tc>
          <w:tcPr>
            <w:tcW w:w="1140" w:type="dxa"/>
            <w:vAlign w:val="center"/>
          </w:tcPr>
          <w:p w14:paraId="488898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14:paraId="3B2986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2" w:type="dxa"/>
          </w:tcPr>
          <w:p w14:paraId="7C4277F1">
            <w:pPr>
              <w:ind w:left="-90" w:right="-108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5-6</w:t>
            </w:r>
          </w:p>
        </w:tc>
        <w:tc>
          <w:tcPr>
            <w:tcW w:w="2093" w:type="dxa"/>
            <w:gridSpan w:val="2"/>
            <w:vAlign w:val="center"/>
          </w:tcPr>
          <w:p w14:paraId="288094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Menganalisis bahaya fisik di tempat kerja</w:t>
            </w:r>
          </w:p>
        </w:tc>
        <w:tc>
          <w:tcPr>
            <w:tcW w:w="1700" w:type="dxa"/>
            <w:gridSpan w:val="2"/>
            <w:vAlign w:val="center"/>
          </w:tcPr>
          <w:p w14:paraId="3B4092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Analisis kasus lingkungan kerja</w:t>
            </w:r>
          </w:p>
        </w:tc>
        <w:tc>
          <w:tcPr>
            <w:tcW w:w="2124" w:type="dxa"/>
            <w:gridSpan w:val="2"/>
            <w:vAlign w:val="center"/>
          </w:tcPr>
          <w:p w14:paraId="18E61A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Laporan &amp; presentasi</w:t>
            </w:r>
          </w:p>
        </w:tc>
        <w:tc>
          <w:tcPr>
            <w:tcW w:w="1703" w:type="dxa"/>
            <w:gridSpan w:val="3"/>
            <w:vAlign w:val="center"/>
          </w:tcPr>
          <w:p w14:paraId="0B7F42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Ceramah, studi kasus, diskusi</w:t>
            </w:r>
          </w:p>
        </w:tc>
        <w:tc>
          <w:tcPr>
            <w:tcW w:w="1855" w:type="dxa"/>
            <w:gridSpan w:val="3"/>
          </w:tcPr>
          <w:p w14:paraId="303B08A2">
            <w:pPr>
              <w:rPr>
                <w:rFonts w:eastAsia="Calibri"/>
                <w:b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3EE8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Kebisingan, getaran, panas, radiasi, penerangan</w:t>
            </w:r>
          </w:p>
        </w:tc>
        <w:tc>
          <w:tcPr>
            <w:tcW w:w="1140" w:type="dxa"/>
            <w:vAlign w:val="center"/>
          </w:tcPr>
          <w:p w14:paraId="4F7BDF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14:paraId="3D53A2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2" w:type="dxa"/>
          </w:tcPr>
          <w:p w14:paraId="646578F7">
            <w:pPr>
              <w:ind w:left="-90" w:right="-108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7</w:t>
            </w:r>
          </w:p>
        </w:tc>
        <w:tc>
          <w:tcPr>
            <w:tcW w:w="2093" w:type="dxa"/>
            <w:gridSpan w:val="2"/>
            <w:vAlign w:val="center"/>
          </w:tcPr>
          <w:p w14:paraId="757A2E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Melakukan pengukuran bahaya fisik dan kimia</w:t>
            </w:r>
          </w:p>
        </w:tc>
        <w:tc>
          <w:tcPr>
            <w:tcW w:w="1700" w:type="dxa"/>
            <w:gridSpan w:val="2"/>
            <w:vAlign w:val="center"/>
          </w:tcPr>
          <w:p w14:paraId="15BE1D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Laporan praktikum</w:t>
            </w:r>
          </w:p>
        </w:tc>
        <w:tc>
          <w:tcPr>
            <w:tcW w:w="2124" w:type="dxa"/>
            <w:gridSpan w:val="2"/>
            <w:vAlign w:val="center"/>
          </w:tcPr>
          <w:p w14:paraId="24D210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Ketepatan data &amp; analisis</w:t>
            </w:r>
          </w:p>
        </w:tc>
        <w:tc>
          <w:tcPr>
            <w:tcW w:w="1703" w:type="dxa"/>
            <w:gridSpan w:val="3"/>
            <w:vAlign w:val="center"/>
          </w:tcPr>
          <w:p w14:paraId="6A0C4D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Praktikum laboratorium</w:t>
            </w:r>
          </w:p>
        </w:tc>
        <w:tc>
          <w:tcPr>
            <w:tcW w:w="1855" w:type="dxa"/>
            <w:gridSpan w:val="3"/>
          </w:tcPr>
          <w:p w14:paraId="37D73572">
            <w:pPr>
              <w:rPr>
                <w:rFonts w:eastAsia="Calibri"/>
                <w:b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EB731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Penggunaan alat ukur: sound level meter, lux meter, gas detector, dosimeter</w:t>
            </w:r>
          </w:p>
        </w:tc>
        <w:tc>
          <w:tcPr>
            <w:tcW w:w="1140" w:type="dxa"/>
            <w:vAlign w:val="center"/>
          </w:tcPr>
          <w:p w14:paraId="745AA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14:paraId="4E4A05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2" w:type="dxa"/>
          </w:tcPr>
          <w:p w14:paraId="7570B416">
            <w:pPr>
              <w:ind w:left="-90" w:right="-108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8</w:t>
            </w:r>
          </w:p>
        </w:tc>
        <w:tc>
          <w:tcPr>
            <w:tcW w:w="2093" w:type="dxa"/>
            <w:gridSpan w:val="2"/>
            <w:vAlign w:val="center"/>
          </w:tcPr>
          <w:p w14:paraId="592232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Ujian Tengah Semester</w:t>
            </w:r>
          </w:p>
        </w:tc>
        <w:tc>
          <w:tcPr>
            <w:tcW w:w="1700" w:type="dxa"/>
            <w:gridSpan w:val="2"/>
            <w:vAlign w:val="center"/>
          </w:tcPr>
          <w:p w14:paraId="2D805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4" w:type="dxa"/>
            <w:gridSpan w:val="2"/>
            <w:vAlign w:val="center"/>
          </w:tcPr>
          <w:p w14:paraId="090CC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Hasil UTS</w:t>
            </w:r>
          </w:p>
        </w:tc>
        <w:tc>
          <w:tcPr>
            <w:tcW w:w="1703" w:type="dxa"/>
            <w:gridSpan w:val="3"/>
            <w:vAlign w:val="center"/>
          </w:tcPr>
          <w:p w14:paraId="6FC94F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Tes tertulis</w:t>
            </w:r>
          </w:p>
        </w:tc>
        <w:tc>
          <w:tcPr>
            <w:tcW w:w="1855" w:type="dxa"/>
            <w:gridSpan w:val="3"/>
          </w:tcPr>
          <w:p w14:paraId="5A3529E5">
            <w:pPr>
              <w:rPr>
                <w:rFonts w:eastAsia="Calibri"/>
                <w:b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D0E4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Evaluasi teori dan praktik</w:t>
            </w:r>
          </w:p>
        </w:tc>
        <w:tc>
          <w:tcPr>
            <w:tcW w:w="1140" w:type="dxa"/>
            <w:vAlign w:val="center"/>
          </w:tcPr>
          <w:p w14:paraId="304F18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14:paraId="072C79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2" w:type="dxa"/>
          </w:tcPr>
          <w:p w14:paraId="7AC1EE74">
            <w:pPr>
              <w:ind w:left="-90" w:right="-108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9-10</w:t>
            </w:r>
          </w:p>
        </w:tc>
        <w:tc>
          <w:tcPr>
            <w:tcW w:w="2093" w:type="dxa"/>
            <w:gridSpan w:val="2"/>
            <w:vAlign w:val="center"/>
          </w:tcPr>
          <w:p w14:paraId="3C8129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Menginterpretasi hasil pengukuran risiko paparan</w:t>
            </w:r>
          </w:p>
        </w:tc>
        <w:tc>
          <w:tcPr>
            <w:tcW w:w="1700" w:type="dxa"/>
            <w:gridSpan w:val="2"/>
            <w:vAlign w:val="center"/>
          </w:tcPr>
          <w:p w14:paraId="5B417A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Laporan hasil analisis</w:t>
            </w:r>
          </w:p>
        </w:tc>
        <w:tc>
          <w:tcPr>
            <w:tcW w:w="2124" w:type="dxa"/>
            <w:gridSpan w:val="2"/>
            <w:vAlign w:val="center"/>
          </w:tcPr>
          <w:p w14:paraId="51317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Ketepatan interpretasi</w:t>
            </w:r>
          </w:p>
        </w:tc>
        <w:tc>
          <w:tcPr>
            <w:tcW w:w="1703" w:type="dxa"/>
            <w:gridSpan w:val="3"/>
            <w:vAlign w:val="center"/>
          </w:tcPr>
          <w:p w14:paraId="36E28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Praktikum, diskusi hasil</w:t>
            </w:r>
          </w:p>
        </w:tc>
        <w:tc>
          <w:tcPr>
            <w:tcW w:w="1855" w:type="dxa"/>
            <w:gridSpan w:val="3"/>
          </w:tcPr>
          <w:p w14:paraId="7D8D094E">
            <w:pPr>
              <w:rPr>
                <w:rFonts w:eastAsia="Calibri"/>
                <w:b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5AEC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Analisis data hasil pengukuran, perhitungan dosis paparan</w:t>
            </w:r>
          </w:p>
        </w:tc>
        <w:tc>
          <w:tcPr>
            <w:tcW w:w="1140" w:type="dxa"/>
            <w:vAlign w:val="center"/>
          </w:tcPr>
          <w:p w14:paraId="274256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14:paraId="779556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2" w:type="dxa"/>
          </w:tcPr>
          <w:p w14:paraId="6D5D8A4A">
            <w:pPr>
              <w:ind w:left="-90" w:right="-108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11-12</w:t>
            </w:r>
          </w:p>
        </w:tc>
        <w:tc>
          <w:tcPr>
            <w:tcW w:w="2093" w:type="dxa"/>
            <w:gridSpan w:val="2"/>
            <w:vAlign w:val="center"/>
          </w:tcPr>
          <w:p w14:paraId="5A1336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Merancang strategi pengendalian bahaya fisik dan kimia</w:t>
            </w:r>
          </w:p>
        </w:tc>
        <w:tc>
          <w:tcPr>
            <w:tcW w:w="1700" w:type="dxa"/>
            <w:gridSpan w:val="2"/>
            <w:vAlign w:val="center"/>
          </w:tcPr>
          <w:p w14:paraId="6A5D91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Rencana pengendalian risiko</w:t>
            </w:r>
          </w:p>
        </w:tc>
        <w:tc>
          <w:tcPr>
            <w:tcW w:w="2124" w:type="dxa"/>
            <w:gridSpan w:val="2"/>
            <w:vAlign w:val="center"/>
          </w:tcPr>
          <w:p w14:paraId="6B24ED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Logika &amp; kelayakan solusi</w:t>
            </w:r>
          </w:p>
        </w:tc>
        <w:tc>
          <w:tcPr>
            <w:tcW w:w="1703" w:type="dxa"/>
            <w:gridSpan w:val="3"/>
            <w:vAlign w:val="center"/>
          </w:tcPr>
          <w:p w14:paraId="72B441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Diskusi kelompok, studi kasus</w:t>
            </w:r>
          </w:p>
        </w:tc>
        <w:tc>
          <w:tcPr>
            <w:tcW w:w="1855" w:type="dxa"/>
            <w:gridSpan w:val="3"/>
          </w:tcPr>
          <w:p w14:paraId="0BD34111">
            <w:pPr>
              <w:rPr>
                <w:rFonts w:eastAsia="Calibri"/>
                <w:b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7E4F3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Hierarki pengendalian, APD, substitusi, rekayasa teknik</w:t>
            </w:r>
          </w:p>
        </w:tc>
        <w:tc>
          <w:tcPr>
            <w:tcW w:w="1140" w:type="dxa"/>
            <w:vAlign w:val="center"/>
          </w:tcPr>
          <w:p w14:paraId="44DC46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14:paraId="63A1C7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2" w:type="dxa"/>
          </w:tcPr>
          <w:p w14:paraId="7BCB22CF">
            <w:pPr>
              <w:ind w:left="-90" w:right="-108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13</w:t>
            </w:r>
          </w:p>
        </w:tc>
        <w:tc>
          <w:tcPr>
            <w:tcW w:w="2093" w:type="dxa"/>
            <w:gridSpan w:val="2"/>
            <w:vAlign w:val="center"/>
          </w:tcPr>
          <w:p w14:paraId="019137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Menyusun laporan ilmiah K3</w:t>
            </w:r>
          </w:p>
        </w:tc>
        <w:tc>
          <w:tcPr>
            <w:tcW w:w="1700" w:type="dxa"/>
            <w:gridSpan w:val="2"/>
            <w:vAlign w:val="center"/>
          </w:tcPr>
          <w:p w14:paraId="08C323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Draft laporan ilmiah</w:t>
            </w:r>
          </w:p>
        </w:tc>
        <w:tc>
          <w:tcPr>
            <w:tcW w:w="2124" w:type="dxa"/>
            <w:gridSpan w:val="2"/>
            <w:vAlign w:val="center"/>
          </w:tcPr>
          <w:p w14:paraId="4D91E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Sistematika &amp; kejelasan</w:t>
            </w:r>
          </w:p>
        </w:tc>
        <w:tc>
          <w:tcPr>
            <w:tcW w:w="1703" w:type="dxa"/>
            <w:gridSpan w:val="3"/>
            <w:vAlign w:val="center"/>
          </w:tcPr>
          <w:p w14:paraId="27D2E7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Workshop penulisan</w:t>
            </w:r>
          </w:p>
        </w:tc>
        <w:tc>
          <w:tcPr>
            <w:tcW w:w="1855" w:type="dxa"/>
            <w:gridSpan w:val="3"/>
          </w:tcPr>
          <w:p w14:paraId="4A919895">
            <w:pPr>
              <w:rPr>
                <w:rFonts w:eastAsia="Calibri"/>
                <w:b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1446A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Format laporan, grafik, tabel, analisis hasil</w:t>
            </w:r>
          </w:p>
        </w:tc>
        <w:tc>
          <w:tcPr>
            <w:tcW w:w="1140" w:type="dxa"/>
            <w:vAlign w:val="center"/>
          </w:tcPr>
          <w:p w14:paraId="0CD515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14:paraId="25E7FA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2" w:type="dxa"/>
          </w:tcPr>
          <w:p w14:paraId="5CB98031">
            <w:pPr>
              <w:ind w:left="-90" w:right="-108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14</w:t>
            </w:r>
          </w:p>
        </w:tc>
        <w:tc>
          <w:tcPr>
            <w:tcW w:w="2093" w:type="dxa"/>
            <w:gridSpan w:val="2"/>
            <w:vAlign w:val="center"/>
          </w:tcPr>
          <w:p w14:paraId="3286E4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Mempresentasikan hasil analisis bahaya fisik dan kimia</w:t>
            </w:r>
          </w:p>
        </w:tc>
        <w:tc>
          <w:tcPr>
            <w:tcW w:w="1700" w:type="dxa"/>
            <w:gridSpan w:val="2"/>
            <w:vAlign w:val="center"/>
          </w:tcPr>
          <w:p w14:paraId="42D283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Presentasi kelompok</w:t>
            </w:r>
          </w:p>
        </w:tc>
        <w:tc>
          <w:tcPr>
            <w:tcW w:w="2124" w:type="dxa"/>
            <w:gridSpan w:val="2"/>
            <w:vAlign w:val="center"/>
          </w:tcPr>
          <w:p w14:paraId="475539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Kualitas penyajian &amp; argumen</w:t>
            </w:r>
          </w:p>
        </w:tc>
        <w:tc>
          <w:tcPr>
            <w:tcW w:w="1703" w:type="dxa"/>
            <w:gridSpan w:val="3"/>
            <w:vAlign w:val="center"/>
          </w:tcPr>
          <w:p w14:paraId="6CC0E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Presentasi, peer review</w:t>
            </w:r>
          </w:p>
        </w:tc>
        <w:tc>
          <w:tcPr>
            <w:tcW w:w="1855" w:type="dxa"/>
            <w:gridSpan w:val="3"/>
          </w:tcPr>
          <w:p w14:paraId="4C8EB24A">
            <w:pPr>
              <w:rPr>
                <w:rFonts w:eastAsia="Calibri"/>
                <w:b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0D3F5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Presentasi laporan hasil praktikum &amp; kajian lapangan</w:t>
            </w:r>
          </w:p>
        </w:tc>
        <w:tc>
          <w:tcPr>
            <w:tcW w:w="1140" w:type="dxa"/>
            <w:vAlign w:val="center"/>
          </w:tcPr>
          <w:p w14:paraId="3DBF2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14:paraId="1C9F72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2" w:type="dxa"/>
          </w:tcPr>
          <w:p w14:paraId="147B295F">
            <w:pPr>
              <w:ind w:left="-90" w:right="-108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15</w:t>
            </w:r>
          </w:p>
        </w:tc>
        <w:tc>
          <w:tcPr>
            <w:tcW w:w="2093" w:type="dxa"/>
            <w:gridSpan w:val="2"/>
            <w:vAlign w:val="center"/>
          </w:tcPr>
          <w:p w14:paraId="4C42D9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Review &amp; refleksi pembelajaran</w:t>
            </w:r>
          </w:p>
        </w:tc>
        <w:tc>
          <w:tcPr>
            <w:tcW w:w="1700" w:type="dxa"/>
            <w:gridSpan w:val="2"/>
            <w:vAlign w:val="center"/>
          </w:tcPr>
          <w:p w14:paraId="5CD718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Refleksi individu</w:t>
            </w:r>
          </w:p>
        </w:tc>
        <w:tc>
          <w:tcPr>
            <w:tcW w:w="2124" w:type="dxa"/>
            <w:gridSpan w:val="2"/>
            <w:vAlign w:val="center"/>
          </w:tcPr>
          <w:p w14:paraId="3B16AE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Partisipasi aktif</w:t>
            </w:r>
          </w:p>
        </w:tc>
        <w:tc>
          <w:tcPr>
            <w:tcW w:w="1703" w:type="dxa"/>
            <w:gridSpan w:val="3"/>
            <w:vAlign w:val="center"/>
          </w:tcPr>
          <w:p w14:paraId="6F206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Diskusi terbimbing</w:t>
            </w:r>
          </w:p>
        </w:tc>
        <w:tc>
          <w:tcPr>
            <w:tcW w:w="1855" w:type="dxa"/>
            <w:gridSpan w:val="3"/>
          </w:tcPr>
          <w:p w14:paraId="6029E704">
            <w:pPr>
              <w:rPr>
                <w:rFonts w:eastAsia="Calibri"/>
                <w:b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0F468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Ringkasan seluruh materi &amp; kaitannya dengan praktik K3</w:t>
            </w:r>
          </w:p>
        </w:tc>
        <w:tc>
          <w:tcPr>
            <w:tcW w:w="1140" w:type="dxa"/>
            <w:vAlign w:val="center"/>
          </w:tcPr>
          <w:p w14:paraId="322AE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14:paraId="5DB6C9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2" w:type="dxa"/>
          </w:tcPr>
          <w:p w14:paraId="2C8571EE">
            <w:pPr>
              <w:ind w:left="-90" w:right="-108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16</w:t>
            </w:r>
          </w:p>
        </w:tc>
        <w:tc>
          <w:tcPr>
            <w:tcW w:w="2093" w:type="dxa"/>
            <w:gridSpan w:val="2"/>
            <w:vAlign w:val="center"/>
          </w:tcPr>
          <w:p w14:paraId="0A4F3A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Ujian Akhir Semester</w:t>
            </w:r>
          </w:p>
        </w:tc>
        <w:tc>
          <w:tcPr>
            <w:tcW w:w="1700" w:type="dxa"/>
            <w:gridSpan w:val="2"/>
            <w:vAlign w:val="center"/>
          </w:tcPr>
          <w:p w14:paraId="341387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4" w:type="dxa"/>
            <w:gridSpan w:val="2"/>
            <w:vAlign w:val="center"/>
          </w:tcPr>
          <w:p w14:paraId="5A9C2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Skor UAS</w:t>
            </w:r>
          </w:p>
        </w:tc>
        <w:tc>
          <w:tcPr>
            <w:tcW w:w="1703" w:type="dxa"/>
            <w:gridSpan w:val="3"/>
            <w:vAlign w:val="center"/>
          </w:tcPr>
          <w:p w14:paraId="74793D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Tes tertulis &amp; praktikum</w:t>
            </w:r>
          </w:p>
        </w:tc>
        <w:tc>
          <w:tcPr>
            <w:tcW w:w="1855" w:type="dxa"/>
            <w:gridSpan w:val="3"/>
          </w:tcPr>
          <w:p w14:paraId="2F829A59">
            <w:pPr>
              <w:rPr>
                <w:rFonts w:eastAsia="Calibri"/>
                <w:b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CA291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Evaluasi seluruh CPMK</w:t>
            </w:r>
          </w:p>
        </w:tc>
        <w:tc>
          <w:tcPr>
            <w:tcW w:w="1140" w:type="dxa"/>
            <w:vAlign w:val="center"/>
          </w:tcPr>
          <w:p w14:paraId="237DB0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</w:tbl>
    <w:p w14:paraId="248376D8">
      <w:pPr>
        <w:tabs>
          <w:tab w:val="left" w:pos="900"/>
          <w:tab w:val="left" w:pos="5040"/>
          <w:tab w:val="left" w:pos="5400"/>
        </w:tabs>
        <w:rPr>
          <w:rFonts w:eastAsia="Calibri"/>
          <w:b/>
          <w:u w:val="single"/>
        </w:rPr>
      </w:pPr>
    </w:p>
    <w:p w14:paraId="10FF2F9A">
      <w:pPr>
        <w:tabs>
          <w:tab w:val="left" w:pos="900"/>
          <w:tab w:val="left" w:pos="5040"/>
          <w:tab w:val="left" w:pos="5400"/>
        </w:tabs>
        <w:rPr>
          <w:rFonts w:eastAsia="Calibri"/>
          <w:b/>
          <w:sz w:val="24"/>
          <w:szCs w:val="24"/>
          <w:u w:val="single"/>
        </w:rPr>
      </w:pPr>
      <w:r>
        <w:rPr>
          <w:b/>
          <w:sz w:val="24"/>
          <w:szCs w:val="24"/>
        </w:rPr>
        <w:t>Tabel Penilaian Mata Kuliah</w:t>
      </w:r>
    </w:p>
    <w:tbl>
      <w:tblPr>
        <w:tblStyle w:val="12"/>
        <w:tblW w:w="0" w:type="auto"/>
        <w:tblCellSpacing w:w="15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19"/>
        <w:gridCol w:w="5121"/>
        <w:gridCol w:w="3457"/>
        <w:gridCol w:w="1993"/>
        <w:gridCol w:w="760"/>
      </w:tblGrid>
      <w:tr w14:paraId="3F65358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0" w:type="auto"/>
            <w:vAlign w:val="center"/>
          </w:tcPr>
          <w:p w14:paraId="64B677A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Aspek yang Dinilai</w:t>
            </w:r>
          </w:p>
        </w:tc>
        <w:tc>
          <w:tcPr>
            <w:tcW w:w="0" w:type="auto"/>
            <w:vAlign w:val="center"/>
          </w:tcPr>
          <w:p w14:paraId="1059FEE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Indikator Penilaian</w:t>
            </w:r>
          </w:p>
        </w:tc>
        <w:tc>
          <w:tcPr>
            <w:tcW w:w="0" w:type="auto"/>
            <w:vAlign w:val="center"/>
          </w:tcPr>
          <w:p w14:paraId="251F9B3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Kriteria Penilaian</w:t>
            </w:r>
          </w:p>
        </w:tc>
        <w:tc>
          <w:tcPr>
            <w:tcW w:w="0" w:type="auto"/>
            <w:vAlign w:val="center"/>
          </w:tcPr>
          <w:p w14:paraId="3AEA2D4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Teknik Penilaian</w:t>
            </w:r>
          </w:p>
        </w:tc>
        <w:tc>
          <w:tcPr>
            <w:tcW w:w="0" w:type="auto"/>
            <w:vAlign w:val="center"/>
          </w:tcPr>
          <w:p w14:paraId="1EA5F68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Bobot (%)</w:t>
            </w:r>
          </w:p>
        </w:tc>
      </w:tr>
      <w:tr w14:paraId="47487A4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6360089B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Kehadiran dan Partisipasi Aktif</w:t>
            </w:r>
          </w:p>
        </w:tc>
        <w:tc>
          <w:tcPr>
            <w:tcW w:w="0" w:type="auto"/>
            <w:vAlign w:val="center"/>
          </w:tcPr>
          <w:p w14:paraId="12C1E9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 Kehadiran minimal 80% dari total pertemuan.b. Aktif dalam diskusi, tanya jawab, dan kegiatan praktikum.c. Mampu menunjukkan sikap profesional dan kolaboratif dalam kelas/praktikum.</w:t>
            </w:r>
          </w:p>
        </w:tc>
        <w:tc>
          <w:tcPr>
            <w:tcW w:w="0" w:type="auto"/>
            <w:vAlign w:val="center"/>
          </w:tcPr>
          <w:p w14:paraId="661EC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- 100% hadir dan aktif berpartisipasi = 100- Hadir 80–99% dengan partisipasi baik = 80- Hadir &lt;80% atau pasif = 60</w:t>
            </w:r>
          </w:p>
        </w:tc>
        <w:tc>
          <w:tcPr>
            <w:tcW w:w="0" w:type="auto"/>
            <w:vAlign w:val="center"/>
          </w:tcPr>
          <w:p w14:paraId="21F68E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Observasi kehadiran, keaktifan diskusi, penilaian sikap</w:t>
            </w:r>
          </w:p>
        </w:tc>
        <w:tc>
          <w:tcPr>
            <w:tcW w:w="0" w:type="auto"/>
            <w:vAlign w:val="center"/>
          </w:tcPr>
          <w:p w14:paraId="3B067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14:paraId="2E6A3C7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67A7BC65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Tugas Individu dan Kelompok</w:t>
            </w:r>
          </w:p>
        </w:tc>
        <w:tc>
          <w:tcPr>
            <w:tcW w:w="0" w:type="auto"/>
            <w:vAlign w:val="center"/>
          </w:tcPr>
          <w:p w14:paraId="0B3FA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 Mampu menyelesaikan tugas analisis bahaya fisik dan kimia.b. Menyusun makalah atau laporan singkat terkait penerapan ilmu kimia–fisika dalam K3.c. Menggunakan referensi ilmiah dan standar K3 yang relevan.</w:t>
            </w:r>
          </w:p>
        </w:tc>
        <w:tc>
          <w:tcPr>
            <w:tcW w:w="0" w:type="auto"/>
            <w:vAlign w:val="center"/>
          </w:tcPr>
          <w:p w14:paraId="783E0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Isi sesuai topik, lengkap, sistematis, dan orisinal = 100- Isi cukup lengkap, analisis kurang mendalam = 80- Isi tidak relevan atau kurang analisis = 60</w:t>
            </w:r>
          </w:p>
        </w:tc>
        <w:tc>
          <w:tcPr>
            <w:tcW w:w="0" w:type="auto"/>
            <w:vAlign w:val="center"/>
          </w:tcPr>
          <w:p w14:paraId="0DCC6B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Penilaian produk tugas, rubrik analisis isi, dan keaktifan kelompok</w:t>
            </w:r>
          </w:p>
        </w:tc>
        <w:tc>
          <w:tcPr>
            <w:tcW w:w="0" w:type="auto"/>
            <w:vAlign w:val="center"/>
          </w:tcPr>
          <w:p w14:paraId="29CA96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14:paraId="2123D46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1110B586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 Laporan Praktikum</w:t>
            </w:r>
          </w:p>
        </w:tc>
        <w:tc>
          <w:tcPr>
            <w:tcW w:w="0" w:type="auto"/>
            <w:vAlign w:val="center"/>
          </w:tcPr>
          <w:p w14:paraId="41F55B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 Menunjukkan kemampuan pengukuran bahaya fisik dan kimia dengan alat laboratorium.b. Data hasil pengukuran akurat dan dianalisis secara ilmiah.c. Laporan disusun sistematis, mencakup latar belakang, metode, hasil, dan pembahasan.</w:t>
            </w:r>
          </w:p>
        </w:tc>
        <w:tc>
          <w:tcPr>
            <w:tcW w:w="0" w:type="auto"/>
            <w:vAlign w:val="center"/>
          </w:tcPr>
          <w:p w14:paraId="1D8AB6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Format laporan lengkap dan benar = 100- Format cukup lengkap dan logis = 80- Data tidak akurat / analisis lemah = 60</w:t>
            </w:r>
          </w:p>
        </w:tc>
        <w:tc>
          <w:tcPr>
            <w:tcW w:w="0" w:type="auto"/>
            <w:vAlign w:val="center"/>
          </w:tcPr>
          <w:p w14:paraId="66BA9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Penilaian laporan tertulis dan performa praktikum</w:t>
            </w:r>
          </w:p>
        </w:tc>
        <w:tc>
          <w:tcPr>
            <w:tcW w:w="0" w:type="auto"/>
            <w:vAlign w:val="center"/>
          </w:tcPr>
          <w:p w14:paraId="7EA5E6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14:paraId="767C413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5574E9F6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 Ujian Tengah Semester (UTS)</w:t>
            </w:r>
          </w:p>
        </w:tc>
        <w:tc>
          <w:tcPr>
            <w:tcW w:w="0" w:type="auto"/>
            <w:vAlign w:val="center"/>
          </w:tcPr>
          <w:p w14:paraId="57E37A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 Memahami konsep kimia dan fisika dasar dalam K3.b. Mampu mengidentifikasi bahaya fisik dan kimia dari studi kasus.c. Menunjukkan kemampuan analisis dasar terhadap paparan dan risiko kerja.</w:t>
            </w:r>
          </w:p>
        </w:tc>
        <w:tc>
          <w:tcPr>
            <w:tcW w:w="0" w:type="auto"/>
            <w:vAlign w:val="center"/>
          </w:tcPr>
          <w:p w14:paraId="149910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Jawaban benar dan analisis logis = 100- Jawaban cukup benar namun kurang mendalam = 80- Jawaban tidak sesuai atau kurang analisis = 60</w:t>
            </w:r>
          </w:p>
        </w:tc>
        <w:tc>
          <w:tcPr>
            <w:tcW w:w="0" w:type="auto"/>
            <w:vAlign w:val="center"/>
          </w:tcPr>
          <w:p w14:paraId="5C69E0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Tes tertulis (esai dan objektif)</w:t>
            </w:r>
          </w:p>
        </w:tc>
        <w:tc>
          <w:tcPr>
            <w:tcW w:w="0" w:type="auto"/>
            <w:vAlign w:val="center"/>
          </w:tcPr>
          <w:p w14:paraId="677865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14:paraId="0485A7F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32FF25BE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5. Ujian Akhir Semester (UAS)</w:t>
            </w:r>
          </w:p>
        </w:tc>
        <w:tc>
          <w:tcPr>
            <w:tcW w:w="0" w:type="auto"/>
            <w:vAlign w:val="center"/>
          </w:tcPr>
          <w:p w14:paraId="26404D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 Mengintegrasikan konsep kimia dan fisika untuk menganalisis dan mengendalikan bahaya kerja.b. Menyusun strategi pengendalian dan rekomendasi berbasis data.c. Menunjukkan kemampuan evaluasi terhadap hasil pengukuran.</w:t>
            </w:r>
          </w:p>
        </w:tc>
        <w:tc>
          <w:tcPr>
            <w:tcW w:w="0" w:type="auto"/>
            <w:vAlign w:val="center"/>
          </w:tcPr>
          <w:p w14:paraId="358E2F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Analisis komprehensif, logis, dan berbasis data = 100- Analisis cukup logis, tapi belum sistematis = 80- Analisis lemah atau tidak sesuai = 60</w:t>
            </w:r>
          </w:p>
        </w:tc>
        <w:tc>
          <w:tcPr>
            <w:tcW w:w="0" w:type="auto"/>
            <w:vAlign w:val="center"/>
          </w:tcPr>
          <w:p w14:paraId="00964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Tes tertulis dan/atau praktikum evaluatif</w:t>
            </w:r>
          </w:p>
        </w:tc>
        <w:tc>
          <w:tcPr>
            <w:tcW w:w="0" w:type="auto"/>
            <w:vAlign w:val="center"/>
          </w:tcPr>
          <w:p w14:paraId="1D2984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14:paraId="3FB6F03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5F3292EF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6. Presentasi dan Komunikasi Ilmiah</w:t>
            </w:r>
          </w:p>
        </w:tc>
        <w:tc>
          <w:tcPr>
            <w:tcW w:w="0" w:type="auto"/>
            <w:vAlign w:val="center"/>
          </w:tcPr>
          <w:p w14:paraId="3FF181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 Mampu mempresentasikan hasil pengukuran dan analisis bahaya fisik &amp; kimia.b. Komunikasi jelas, argumentatif, dan didukung data.c. Dapat menjawab pertanyaan dengan profesional.</w:t>
            </w:r>
          </w:p>
        </w:tc>
        <w:tc>
          <w:tcPr>
            <w:tcW w:w="0" w:type="auto"/>
            <w:vAlign w:val="center"/>
          </w:tcPr>
          <w:p w14:paraId="7183AA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Presentasi sistematis, interaktif, dan argumentatif = 100- Cukup jelas, tapi kurang percaya diri = 80- Tidak menguasai materi = 60</w:t>
            </w:r>
          </w:p>
        </w:tc>
        <w:tc>
          <w:tcPr>
            <w:tcW w:w="0" w:type="auto"/>
            <w:vAlign w:val="center"/>
          </w:tcPr>
          <w:p w14:paraId="3438FE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Penilaian performa presentasi dan rubrik komunikasi</w:t>
            </w:r>
          </w:p>
        </w:tc>
        <w:tc>
          <w:tcPr>
            <w:tcW w:w="0" w:type="auto"/>
            <w:vAlign w:val="center"/>
          </w:tcPr>
          <w:p w14:paraId="1DB0D7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</w:tbl>
    <w:p w14:paraId="138C2F63">
      <w:pPr>
        <w:tabs>
          <w:tab w:val="left" w:pos="900"/>
          <w:tab w:val="left" w:pos="5040"/>
          <w:tab w:val="left" w:pos="5400"/>
        </w:tabs>
        <w:rPr>
          <w:rFonts w:eastAsia="Calibri"/>
          <w:b/>
          <w:u w:val="single"/>
        </w:rPr>
      </w:pPr>
    </w:p>
    <w:p w14:paraId="33C69A8A">
      <w:pPr>
        <w:tabs>
          <w:tab w:val="left" w:pos="900"/>
          <w:tab w:val="left" w:pos="5040"/>
          <w:tab w:val="left" w:pos="5400"/>
        </w:tabs>
        <w:rPr>
          <w:rFonts w:eastAsia="Calibri"/>
          <w:b/>
          <w:sz w:val="24"/>
          <w:szCs w:val="24"/>
          <w:u w:val="single"/>
        </w:rPr>
      </w:pPr>
      <w:r>
        <w:rPr>
          <w:b/>
          <w:sz w:val="24"/>
          <w:szCs w:val="24"/>
        </w:rPr>
        <w:t>Total Bobot Penilaian</w:t>
      </w:r>
    </w:p>
    <w:tbl>
      <w:tblPr>
        <w:tblStyle w:val="12"/>
        <w:tblW w:w="0" w:type="auto"/>
        <w:tblCellSpacing w:w="15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215"/>
        <w:gridCol w:w="2359"/>
      </w:tblGrid>
      <w:tr w14:paraId="1A268AB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0" w:type="auto"/>
            <w:vAlign w:val="center"/>
          </w:tcPr>
          <w:p w14:paraId="7CDDF37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Komponen</w:t>
            </w:r>
          </w:p>
        </w:tc>
        <w:tc>
          <w:tcPr>
            <w:tcW w:w="2314" w:type="dxa"/>
            <w:vAlign w:val="center"/>
          </w:tcPr>
          <w:p w14:paraId="6CD39D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Bobot (%)</w:t>
            </w:r>
          </w:p>
        </w:tc>
      </w:tr>
      <w:tr w14:paraId="79EDDB6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5E634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Kehadiran dan Partisipasi</w:t>
            </w:r>
          </w:p>
        </w:tc>
        <w:tc>
          <w:tcPr>
            <w:tcW w:w="2314" w:type="dxa"/>
            <w:vAlign w:val="center"/>
          </w:tcPr>
          <w:p w14:paraId="39D6C2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14:paraId="26B591B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3233F7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Tugas Individu &amp; Kelompok</w:t>
            </w:r>
          </w:p>
        </w:tc>
        <w:tc>
          <w:tcPr>
            <w:tcW w:w="2314" w:type="dxa"/>
            <w:vAlign w:val="center"/>
          </w:tcPr>
          <w:p w14:paraId="590C4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14:paraId="074849A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3D2874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Laporan Praktikum</w:t>
            </w:r>
          </w:p>
        </w:tc>
        <w:tc>
          <w:tcPr>
            <w:tcW w:w="2314" w:type="dxa"/>
            <w:vAlign w:val="center"/>
          </w:tcPr>
          <w:p w14:paraId="72836B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14:paraId="0AD2806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1524BF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Ujian Tengah Semester (UTS)</w:t>
            </w:r>
          </w:p>
        </w:tc>
        <w:tc>
          <w:tcPr>
            <w:tcW w:w="2314" w:type="dxa"/>
            <w:vAlign w:val="center"/>
          </w:tcPr>
          <w:p w14:paraId="7004D7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14:paraId="232F1DB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7D0B01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Ujian Akhir Semester (UAS)</w:t>
            </w:r>
          </w:p>
        </w:tc>
        <w:tc>
          <w:tcPr>
            <w:tcW w:w="2314" w:type="dxa"/>
            <w:vAlign w:val="center"/>
          </w:tcPr>
          <w:p w14:paraId="34C6B1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14:paraId="4D99187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178EB8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Presentasi &amp; Komunikasi Ilmiah</w:t>
            </w:r>
          </w:p>
        </w:tc>
        <w:tc>
          <w:tcPr>
            <w:tcW w:w="2314" w:type="dxa"/>
            <w:vAlign w:val="center"/>
          </w:tcPr>
          <w:p w14:paraId="0915E9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14:paraId="6D5DA0C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0B534476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2314" w:type="dxa"/>
            <w:vAlign w:val="center"/>
          </w:tcPr>
          <w:p w14:paraId="4BBA0C3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100%</w:t>
            </w:r>
          </w:p>
        </w:tc>
      </w:tr>
    </w:tbl>
    <w:p w14:paraId="41338FB9">
      <w:pPr>
        <w:tabs>
          <w:tab w:val="left" w:pos="900"/>
          <w:tab w:val="left" w:pos="5040"/>
          <w:tab w:val="left" w:pos="5400"/>
        </w:tabs>
        <w:rPr>
          <w:rFonts w:eastAsia="Calibri"/>
          <w:b/>
          <w:u w:val="single"/>
        </w:rPr>
      </w:pPr>
    </w:p>
    <w:p w14:paraId="65A8B585">
      <w:pPr>
        <w:tabs>
          <w:tab w:val="left" w:pos="900"/>
          <w:tab w:val="left" w:pos="5040"/>
          <w:tab w:val="left" w:pos="5400"/>
        </w:tabs>
        <w:rPr>
          <w:rFonts w:eastAsia="Calibri"/>
        </w:rPr>
      </w:pPr>
      <w:r>
        <w:rPr>
          <w:rFonts w:eastAsia="Calibri"/>
          <w:b/>
          <w:u w:val="single"/>
        </w:rPr>
        <w:t>Catatan</w:t>
      </w:r>
      <w:r>
        <w:rPr>
          <w:rFonts w:eastAsia="Calibri"/>
          <w:b/>
        </w:rPr>
        <w:t xml:space="preserve"> :</w:t>
      </w:r>
    </w:p>
    <w:p w14:paraId="5F06B136">
      <w:pPr>
        <w:numPr>
          <w:ilvl w:val="0"/>
          <w:numId w:val="4"/>
        </w:numPr>
        <w:rPr>
          <w:rFonts w:eastAsia="Calibri"/>
          <w:sz w:val="22"/>
          <w:szCs w:val="22"/>
        </w:rPr>
      </w:pPr>
      <w:r>
        <w:rPr>
          <w:rFonts w:eastAsia="Calibri"/>
          <w:b/>
          <w:sz w:val="22"/>
          <w:szCs w:val="22"/>
        </w:rPr>
        <w:t>CapaianPembelajaranLulusan PRODI (CPL-PRODI)</w:t>
      </w:r>
      <w:r>
        <w:rPr>
          <w:rFonts w:eastAsia="Calibri"/>
          <w:sz w:val="22"/>
          <w:szCs w:val="22"/>
        </w:rPr>
        <w:t>adalahkemampuan yang dimiliki oleh setiaplulusan PRODI yang merupakaninternalisasidarisikap, penguasaanpengetahuan dan ketrampilansesuaidenganjenjangprodinya yang diperolehmelalui proses pembelajaran.</w:t>
      </w:r>
    </w:p>
    <w:p w14:paraId="05609624">
      <w:pPr>
        <w:numPr>
          <w:ilvl w:val="0"/>
          <w:numId w:val="4"/>
        </w:numPr>
        <w:ind w:left="709" w:hanging="425"/>
        <w:rPr>
          <w:rFonts w:eastAsia="Calibri"/>
          <w:sz w:val="22"/>
          <w:szCs w:val="22"/>
        </w:rPr>
      </w:pPr>
      <w:r>
        <w:rPr>
          <w:rFonts w:eastAsia="Calibri"/>
          <w:b/>
          <w:sz w:val="22"/>
          <w:szCs w:val="22"/>
        </w:rPr>
        <w:t>CPL yang dibebankan pada matakuliah</w:t>
      </w:r>
      <w:r>
        <w:rPr>
          <w:rFonts w:eastAsia="Calibri"/>
          <w:sz w:val="22"/>
          <w:szCs w:val="22"/>
        </w:rPr>
        <w:t>adalahbeberapacapaianpembelajaranlulusan program studi (CPL-PRODI) yang digunakanuntukpembentukan/pengembangansebuahmatakuliah yang terdiridariaspeksikap, ketrampulanumum, ketrampilankhusus dan pengetahuan.</w:t>
      </w:r>
    </w:p>
    <w:p w14:paraId="1A6BE6C5">
      <w:pPr>
        <w:numPr>
          <w:ilvl w:val="0"/>
          <w:numId w:val="4"/>
        </w:numPr>
        <w:ind w:left="709" w:hanging="425"/>
        <w:rPr>
          <w:rFonts w:eastAsia="Calibri"/>
          <w:sz w:val="22"/>
          <w:szCs w:val="22"/>
        </w:rPr>
      </w:pPr>
      <w:r>
        <w:rPr>
          <w:rFonts w:eastAsia="Calibri"/>
          <w:b/>
          <w:sz w:val="22"/>
          <w:szCs w:val="22"/>
        </w:rPr>
        <w:t>CP Mata kuliah (CPMK)</w:t>
      </w:r>
      <w:r>
        <w:rPr>
          <w:rFonts w:eastAsia="Calibri"/>
          <w:sz w:val="22"/>
          <w:szCs w:val="22"/>
        </w:rPr>
        <w:t>adalahkemampuan yang dijabarkansecaraspesifikdari CPL yang dibebankan pada matakuliah, dan bersifatspesifikterhadapbahankajianataumateripembelajaranmatakuliahtersebut.</w:t>
      </w:r>
    </w:p>
    <w:p w14:paraId="4D668130">
      <w:pPr>
        <w:numPr>
          <w:ilvl w:val="0"/>
          <w:numId w:val="4"/>
        </w:numPr>
        <w:ind w:left="709" w:hanging="425"/>
        <w:rPr>
          <w:rFonts w:eastAsia="Calibri"/>
          <w:sz w:val="22"/>
          <w:szCs w:val="22"/>
        </w:rPr>
      </w:pPr>
      <w:r>
        <w:rPr>
          <w:rFonts w:eastAsia="Calibri"/>
          <w:b/>
          <w:sz w:val="22"/>
          <w:szCs w:val="22"/>
        </w:rPr>
        <w:t>Sub-CP Mata kuliah (Sub-CPMK)</w:t>
      </w:r>
      <w:r>
        <w:rPr>
          <w:rFonts w:eastAsia="Calibri"/>
          <w:sz w:val="22"/>
          <w:szCs w:val="22"/>
        </w:rPr>
        <w:t>adalahkemampuan yang dijabarkansecaraspesifikdari CPMK yang dapatdiukurataudiamati dan merupakankemampuanakhir yang direncanakan pada tiaptahappembelajaran, dan bersifatspesifikterhadapmateripembelajaranmatakuliahtersebut.</w:t>
      </w:r>
    </w:p>
    <w:p w14:paraId="178EB1C8">
      <w:pPr>
        <w:numPr>
          <w:ilvl w:val="0"/>
          <w:numId w:val="4"/>
        </w:numPr>
        <w:ind w:left="709" w:hanging="425"/>
        <w:rPr>
          <w:rFonts w:eastAsia="Calibri"/>
          <w:sz w:val="22"/>
          <w:szCs w:val="22"/>
        </w:rPr>
      </w:pPr>
      <w:r>
        <w:rPr>
          <w:rFonts w:eastAsia="Calibri"/>
          <w:b/>
          <w:sz w:val="22"/>
          <w:szCs w:val="22"/>
        </w:rPr>
        <w:t>Indikatorpenilaian</w:t>
      </w:r>
      <w:r>
        <w:rPr>
          <w:rFonts w:eastAsia="Calibri"/>
          <w:sz w:val="22"/>
          <w:szCs w:val="22"/>
        </w:rPr>
        <w:t>kemampuandalam proses maupunhasilbelajarmahasiswaadalahpernyataanspesifik dan terukur yang mengidentifikasikemampuanataukinerjahasilbelajarmahasiswa yang disertaibukti-bukti.</w:t>
      </w:r>
    </w:p>
    <w:p w14:paraId="34587F66">
      <w:pPr>
        <w:numPr>
          <w:ilvl w:val="0"/>
          <w:numId w:val="4"/>
        </w:numPr>
        <w:ind w:left="709" w:hanging="425"/>
        <w:rPr>
          <w:rFonts w:eastAsia="Calibri"/>
          <w:sz w:val="22"/>
          <w:szCs w:val="22"/>
        </w:rPr>
      </w:pPr>
      <w:r>
        <w:rPr>
          <w:rFonts w:eastAsia="Calibri"/>
          <w:b/>
          <w:sz w:val="22"/>
          <w:szCs w:val="22"/>
        </w:rPr>
        <w:t>KreteriaPenilaian</w:t>
      </w:r>
      <w:r>
        <w:rPr>
          <w:rFonts w:eastAsia="Calibri"/>
          <w:sz w:val="22"/>
          <w:szCs w:val="22"/>
        </w:rPr>
        <w:t xml:space="preserve">adalahpatokan yang digunakansebagaiukuranatautolokukurketercapaianpembelajarandalampenilaianberdasarkanindikator-indikator yang telahditetapkan. </w:t>
      </w:r>
      <w:r>
        <w:rPr>
          <w:rFonts w:eastAsia="Calibri"/>
          <w:sz w:val="22"/>
          <w:szCs w:val="22"/>
          <w:lang w:val="sv-SE"/>
        </w:rPr>
        <w:t xml:space="preserve">Kreteria penilaian merupakan pedoman bagi penilai agar penilaian konsisten dan tidak bias. </w:t>
      </w:r>
      <w:r>
        <w:rPr>
          <w:rFonts w:eastAsia="Calibri"/>
          <w:sz w:val="22"/>
          <w:szCs w:val="22"/>
        </w:rPr>
        <w:t>Kreteriadapatberupakuantitatifataupunkualitatif.</w:t>
      </w:r>
    </w:p>
    <w:p w14:paraId="64D1323B">
      <w:pPr>
        <w:numPr>
          <w:ilvl w:val="0"/>
          <w:numId w:val="4"/>
        </w:numPr>
        <w:ind w:left="709" w:hanging="425"/>
        <w:rPr>
          <w:rFonts w:eastAsia="Calibri"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Bentukpenilaian: </w:t>
      </w:r>
      <w:r>
        <w:rPr>
          <w:rFonts w:eastAsia="Calibri"/>
          <w:sz w:val="22"/>
          <w:szCs w:val="22"/>
        </w:rPr>
        <w:t>tes dan non-tes.</w:t>
      </w:r>
    </w:p>
    <w:p w14:paraId="248974F0">
      <w:pPr>
        <w:numPr>
          <w:ilvl w:val="0"/>
          <w:numId w:val="4"/>
        </w:numPr>
        <w:ind w:left="709" w:hanging="425"/>
        <w:rPr>
          <w:rFonts w:eastAsia="Calibri"/>
          <w:sz w:val="22"/>
          <w:szCs w:val="22"/>
          <w:lang w:val="sv-SE"/>
        </w:rPr>
      </w:pPr>
      <w:r>
        <w:rPr>
          <w:rFonts w:eastAsia="Calibri"/>
          <w:b/>
          <w:sz w:val="22"/>
          <w:szCs w:val="22"/>
          <w:lang w:val="sv-SE"/>
        </w:rPr>
        <w:t>Bentuk pembelajaran:</w:t>
      </w:r>
      <w:r>
        <w:rPr>
          <w:rFonts w:eastAsia="Calibri"/>
          <w:sz w:val="22"/>
          <w:szCs w:val="22"/>
          <w:lang w:val="sv-SE"/>
        </w:rPr>
        <w:t xml:space="preserve"> Kuliah, Responsi, Tutorial, Seminar atau yang setara, Praktikum, Praktik Studio, Praktik Bengkel, Praktik Lapangan, Penelitian, Pengabdian Kepada Masyarakat dan/atau bentuk pembelajaran lain yang setara.</w:t>
      </w:r>
    </w:p>
    <w:p w14:paraId="15722E1D">
      <w:pPr>
        <w:numPr>
          <w:ilvl w:val="0"/>
          <w:numId w:val="4"/>
        </w:numPr>
        <w:ind w:left="709" w:hanging="425"/>
        <w:rPr>
          <w:rFonts w:eastAsia="Calibri"/>
          <w:sz w:val="22"/>
          <w:szCs w:val="22"/>
        </w:rPr>
      </w:pPr>
      <w:r>
        <w:rPr>
          <w:rFonts w:eastAsia="Calibri"/>
          <w:b/>
          <w:sz w:val="22"/>
          <w:szCs w:val="22"/>
        </w:rPr>
        <w:t>Metode Pembelajaran:</w:t>
      </w:r>
      <w:r>
        <w:rPr>
          <w:rFonts w:eastAsia="Calibri"/>
          <w:sz w:val="22"/>
          <w:szCs w:val="22"/>
        </w:rPr>
        <w:t xml:space="preserve"> Small Group Discussion, Role-Play &amp; Simulation, Discovery Learning, Self-Directed Learning, Cooperative Learning, Collaborative Learning, Contextual Learning, Project Based Learning, dan metodelainnyaygsetara.</w:t>
      </w:r>
    </w:p>
    <w:p w14:paraId="097C994E">
      <w:pPr>
        <w:numPr>
          <w:ilvl w:val="0"/>
          <w:numId w:val="4"/>
        </w:numPr>
        <w:ind w:left="709" w:hanging="425"/>
        <w:rPr>
          <w:rFonts w:eastAsia="Calibri"/>
          <w:sz w:val="22"/>
          <w:szCs w:val="22"/>
        </w:rPr>
      </w:pPr>
      <w:r>
        <w:rPr>
          <w:rFonts w:eastAsia="Calibri"/>
          <w:b/>
          <w:sz w:val="22"/>
          <w:szCs w:val="22"/>
        </w:rPr>
        <w:t>Materi Pembelajaran</w:t>
      </w:r>
      <w:r>
        <w:rPr>
          <w:rFonts w:eastAsia="Calibri"/>
          <w:sz w:val="22"/>
          <w:szCs w:val="22"/>
        </w:rPr>
        <w:t>adalahrincianatauuraiandaribahankajianygdapatdisajikandalambentukbeberapapokok dan sub-pokokbahasan.</w:t>
      </w:r>
    </w:p>
    <w:p w14:paraId="1DE9F4C7">
      <w:pPr>
        <w:numPr>
          <w:ilvl w:val="0"/>
          <w:numId w:val="4"/>
        </w:numPr>
        <w:ind w:left="709" w:hanging="425"/>
        <w:rPr>
          <w:rFonts w:eastAsia="Calibri"/>
          <w:sz w:val="22"/>
          <w:szCs w:val="22"/>
        </w:rPr>
      </w:pPr>
      <w:r>
        <w:rPr>
          <w:rFonts w:eastAsia="Calibri"/>
          <w:b/>
          <w:sz w:val="22"/>
          <w:szCs w:val="22"/>
        </w:rPr>
        <w:t>Bobotpenilaian</w:t>
      </w:r>
      <w:r>
        <w:rPr>
          <w:rFonts w:eastAsia="Calibri"/>
          <w:sz w:val="22"/>
          <w:szCs w:val="22"/>
        </w:rPr>
        <w:t>adalahprosentasipenilaianterhadapsetiappencapaian sub-CPMK yang besarnyaproposionaldengantingkatkesulitanpencapaian sub-CPMK tsb., dan totalnya 100%.</w:t>
      </w:r>
    </w:p>
    <w:p w14:paraId="150F9778">
      <w:pPr>
        <w:numPr>
          <w:ilvl w:val="0"/>
          <w:numId w:val="4"/>
        </w:numPr>
        <w:ind w:left="709" w:hanging="425"/>
        <w:rPr>
          <w:rFonts w:eastAsia="Calibri"/>
          <w:sz w:val="22"/>
          <w:szCs w:val="22"/>
          <w:lang w:val="sv-SE"/>
        </w:rPr>
      </w:pPr>
      <w:r>
        <w:rPr>
          <w:rFonts w:eastAsia="Calibri"/>
          <w:sz w:val="22"/>
          <w:szCs w:val="22"/>
          <w:lang w:val="sv-SE"/>
        </w:rPr>
        <w:t>TM=Tatap Muka, PT=Penugasan terstruktur, BM=Belajar mandiri.</w:t>
      </w:r>
    </w:p>
    <w:p w14:paraId="7299ECBA">
      <w:pPr>
        <w:ind w:left="284"/>
        <w:rPr>
          <w:rFonts w:eastAsia="Calibri"/>
          <w:sz w:val="22"/>
          <w:szCs w:val="22"/>
          <w:lang w:val="sv-SE"/>
        </w:rPr>
      </w:pPr>
    </w:p>
    <w:p w14:paraId="5198DE60">
      <w:pPr>
        <w:rPr>
          <w:rFonts w:eastAsia="Calibri"/>
          <w:sz w:val="22"/>
          <w:szCs w:val="22"/>
          <w:lang w:val="sv-SE"/>
        </w:rPr>
      </w:pPr>
    </w:p>
    <w:p w14:paraId="51B18C59"/>
    <w:sectPr>
      <w:pgSz w:w="15840" w:h="12240" w:orient="landscape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ndara">
    <w:panose1 w:val="020E0502030303020204"/>
    <w:charset w:val="00"/>
    <w:family w:val="swiss"/>
    <w:pitch w:val="default"/>
    <w:sig w:usb0="A00002EF" w:usb1="4000A44B" w:usb2="00000000" w:usb3="00000000" w:csb0="2000019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3253E5"/>
    <w:multiLevelType w:val="multilevel"/>
    <w:tmpl w:val="193253E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373474ED"/>
    <w:multiLevelType w:val="multilevel"/>
    <w:tmpl w:val="373474ED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D76EAB"/>
    <w:multiLevelType w:val="multilevel"/>
    <w:tmpl w:val="5CD76EAB"/>
    <w:lvl w:ilvl="0" w:tentative="0">
      <w:start w:val="1"/>
      <w:numFmt w:val="decimal"/>
      <w:lvlText w:val="%1."/>
      <w:lvlJc w:val="left"/>
      <w:pPr>
        <w:ind w:left="1440" w:hanging="360"/>
      </w:p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2CE380C"/>
    <w:multiLevelType w:val="multilevel"/>
    <w:tmpl w:val="62CE380C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3EF"/>
    <w:rsid w:val="000C0CEE"/>
    <w:rsid w:val="00153D34"/>
    <w:rsid w:val="001C62EB"/>
    <w:rsid w:val="002231DE"/>
    <w:rsid w:val="002D32A8"/>
    <w:rsid w:val="002F1E45"/>
    <w:rsid w:val="00427FD1"/>
    <w:rsid w:val="004B2137"/>
    <w:rsid w:val="0056284D"/>
    <w:rsid w:val="005B20BD"/>
    <w:rsid w:val="0074666A"/>
    <w:rsid w:val="007835C6"/>
    <w:rsid w:val="007A43A6"/>
    <w:rsid w:val="00800985"/>
    <w:rsid w:val="008B6B0F"/>
    <w:rsid w:val="009609D0"/>
    <w:rsid w:val="009A1ECC"/>
    <w:rsid w:val="009C0AAF"/>
    <w:rsid w:val="00A64B0D"/>
    <w:rsid w:val="00A778DF"/>
    <w:rsid w:val="00C63B94"/>
    <w:rsid w:val="00C8244F"/>
    <w:rsid w:val="00CB78C4"/>
    <w:rsid w:val="00CF04E3"/>
    <w:rsid w:val="00DB0208"/>
    <w:rsid w:val="00FB03EF"/>
    <w:rsid w:val="65E0617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kern w:val="0"/>
      <w:sz w:val="20"/>
      <w:szCs w:val="20"/>
      <w:lang w:val="en-US" w:eastAsia="en-US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376092" w:themeColor="accent1" w:themeShade="BF"/>
      <w:sz w:val="40"/>
      <w:szCs w:val="40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376092" w:themeColor="accent1" w:themeShade="BF"/>
      <w:sz w:val="28"/>
      <w:szCs w:val="28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76092" w:themeColor="accent1" w:themeShade="BF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376092" w:themeColor="accent1" w:themeShade="BF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38"/>
    <w:semiHidden/>
    <w:unhideWhenUsed/>
    <w:uiPriority w:val="99"/>
    <w:rPr>
      <w:rFonts w:ascii="Tahoma" w:hAnsi="Tahoma" w:cs="Tahoma"/>
      <w:sz w:val="16"/>
      <w:szCs w:val="16"/>
    </w:rPr>
  </w:style>
  <w:style w:type="character" w:styleId="14">
    <w:name w:val="Emphasis"/>
    <w:qFormat/>
    <w:uiPriority w:val="20"/>
    <w:rPr>
      <w:i/>
      <w:iCs/>
    </w:rPr>
  </w:style>
  <w:style w:type="paragraph" w:styleId="15">
    <w:name w:val="Normal (Web)"/>
    <w:basedOn w:val="1"/>
    <w:unhideWhenUsed/>
    <w:uiPriority w:val="99"/>
    <w:pPr>
      <w:spacing w:before="100" w:beforeAutospacing="1" w:after="100" w:afterAutospacing="1"/>
    </w:pPr>
    <w:rPr>
      <w:sz w:val="24"/>
      <w:szCs w:val="24"/>
    </w:rPr>
  </w:style>
  <w:style w:type="character" w:styleId="16">
    <w:name w:val="Strong"/>
    <w:basedOn w:val="11"/>
    <w:qFormat/>
    <w:uiPriority w:val="22"/>
    <w:rPr>
      <w:b/>
      <w:bCs/>
    </w:rPr>
  </w:style>
  <w:style w:type="paragraph" w:styleId="17">
    <w:name w:val="Subtitle"/>
    <w:basedOn w:val="1"/>
    <w:next w:val="1"/>
    <w:link w:val="30"/>
    <w:qFormat/>
    <w:uiPriority w:val="11"/>
    <w:p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18">
    <w:name w:val="Table Grid"/>
    <w:basedOn w:val="12"/>
    <w:uiPriority w:val="59"/>
    <w:pPr>
      <w:spacing w:after="0" w:line="240" w:lineRule="auto"/>
    </w:pPr>
    <w:rPr>
      <w:kern w:val="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9">
    <w:name w:val="Title"/>
    <w:basedOn w:val="1"/>
    <w:next w:val="1"/>
    <w:link w:val="29"/>
    <w:qFormat/>
    <w:uiPriority w:val="10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0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color w:val="376092" w:themeColor="accent1" w:themeShade="BF"/>
      <w:sz w:val="40"/>
      <w:szCs w:val="40"/>
      <w:lang w:val="id-ID"/>
    </w:rPr>
  </w:style>
  <w:style w:type="character" w:customStyle="1" w:styleId="21">
    <w:name w:val="Heading 2 Char"/>
    <w:basedOn w:val="11"/>
    <w:link w:val="3"/>
    <w:semiHidden/>
    <w:uiPriority w:val="9"/>
    <w:rPr>
      <w:rFonts w:asciiTheme="majorHAnsi" w:hAnsiTheme="majorHAnsi" w:eastAsiaTheme="majorEastAsia" w:cstheme="majorBidi"/>
      <w:color w:val="376092" w:themeColor="accent1" w:themeShade="BF"/>
      <w:sz w:val="32"/>
      <w:szCs w:val="32"/>
      <w:lang w:val="id-ID"/>
    </w:rPr>
  </w:style>
  <w:style w:type="character" w:customStyle="1" w:styleId="22">
    <w:name w:val="Heading 3 Char"/>
    <w:basedOn w:val="11"/>
    <w:link w:val="4"/>
    <w:semiHidden/>
    <w:uiPriority w:val="9"/>
    <w:rPr>
      <w:rFonts w:eastAsiaTheme="majorEastAsia" w:cstheme="majorBidi"/>
      <w:color w:val="376092" w:themeColor="accent1" w:themeShade="BF"/>
      <w:sz w:val="28"/>
      <w:szCs w:val="28"/>
      <w:lang w:val="id-ID"/>
    </w:rPr>
  </w:style>
  <w:style w:type="character" w:customStyle="1" w:styleId="23">
    <w:name w:val="Heading 4 Char"/>
    <w:basedOn w:val="11"/>
    <w:link w:val="5"/>
    <w:semiHidden/>
    <w:uiPriority w:val="9"/>
    <w:rPr>
      <w:rFonts w:eastAsiaTheme="majorEastAsia" w:cstheme="majorBidi"/>
      <w:i/>
      <w:iCs/>
      <w:color w:val="376092" w:themeColor="accent1" w:themeShade="BF"/>
      <w:lang w:val="id-ID"/>
    </w:rPr>
  </w:style>
  <w:style w:type="character" w:customStyle="1" w:styleId="24">
    <w:name w:val="Heading 5 Char"/>
    <w:basedOn w:val="11"/>
    <w:link w:val="6"/>
    <w:semiHidden/>
    <w:uiPriority w:val="9"/>
    <w:rPr>
      <w:rFonts w:eastAsiaTheme="majorEastAsia" w:cstheme="majorBidi"/>
      <w:color w:val="376092" w:themeColor="accent1" w:themeShade="BF"/>
      <w:lang w:val="id-ID"/>
    </w:rPr>
  </w:style>
  <w:style w:type="character" w:customStyle="1" w:styleId="25">
    <w:name w:val="Heading 6 Char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:lang w:val="id-ID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Heading 7 Char"/>
    <w:basedOn w:val="11"/>
    <w:link w:val="8"/>
    <w:semiHidden/>
    <w:uiPriority w:val="9"/>
    <w:rPr>
      <w:rFonts w:eastAsiaTheme="majorEastAsia" w:cstheme="majorBidi"/>
      <w:color w:val="595959" w:themeColor="text1" w:themeTint="A6"/>
      <w:lang w:val="id-ID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Heading 8 Char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:lang w:val="id-ID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8">
    <w:name w:val="Heading 9 Char"/>
    <w:basedOn w:val="11"/>
    <w:link w:val="10"/>
    <w:semiHidden/>
    <w:uiPriority w:val="9"/>
    <w:rPr>
      <w:rFonts w:eastAsiaTheme="majorEastAsia" w:cstheme="majorBidi"/>
      <w:color w:val="262626" w:themeColor="text1" w:themeTint="D9"/>
      <w:lang w:val="id-ID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9">
    <w:name w:val="Title Char"/>
    <w:basedOn w:val="11"/>
    <w:link w:val="19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  <w:lang w:val="id-ID"/>
    </w:rPr>
  </w:style>
  <w:style w:type="character" w:customStyle="1" w:styleId="30">
    <w:name w:val="Subtitle Char"/>
    <w:basedOn w:val="11"/>
    <w:link w:val="17"/>
    <w:uiPriority w:val="11"/>
    <w:rPr>
      <w:rFonts w:eastAsiaTheme="majorEastAsia" w:cstheme="majorBidi"/>
      <w:color w:val="595959" w:themeColor="text1" w:themeTint="A6"/>
      <w:spacing w:val="15"/>
      <w:sz w:val="28"/>
      <w:szCs w:val="28"/>
      <w:lang w:val="id-ID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Quote Char"/>
    <w:basedOn w:val="11"/>
    <w:link w:val="31"/>
    <w:uiPriority w:val="29"/>
    <w:rPr>
      <w:i/>
      <w:iCs/>
      <w:color w:val="404040" w:themeColor="text1" w:themeTint="BF"/>
      <w:lang w:val="id-ID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Intense Emphasis"/>
    <w:basedOn w:val="11"/>
    <w:qFormat/>
    <w:uiPriority w:val="21"/>
    <w:rPr>
      <w:i/>
      <w:iCs/>
      <w:color w:val="376092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366091" w:themeColor="accent1" w:themeShade="BF" w:sz="4" w:space="10"/>
        <w:bottom w:val="single" w:color="366091" w:themeColor="accent1" w:themeShade="BF" w:sz="4" w:space="10"/>
      </w:pBdr>
      <w:spacing w:before="360" w:after="360"/>
      <w:ind w:left="864" w:right="864"/>
      <w:jc w:val="center"/>
    </w:pPr>
    <w:rPr>
      <w:i/>
      <w:iCs/>
      <w:color w:val="376092" w:themeColor="accent1" w:themeShade="BF"/>
    </w:rPr>
  </w:style>
  <w:style w:type="character" w:customStyle="1" w:styleId="36">
    <w:name w:val="Intense Quote Char"/>
    <w:basedOn w:val="11"/>
    <w:link w:val="35"/>
    <w:uiPriority w:val="30"/>
    <w:rPr>
      <w:i/>
      <w:iCs/>
      <w:color w:val="376092" w:themeColor="accent1" w:themeShade="BF"/>
      <w:lang w:val="id-ID"/>
    </w:rPr>
  </w:style>
  <w:style w:type="character" w:customStyle="1" w:styleId="37">
    <w:name w:val="Intense Reference"/>
    <w:basedOn w:val="11"/>
    <w:qFormat/>
    <w:uiPriority w:val="32"/>
    <w:rPr>
      <w:b/>
      <w:bCs/>
      <w:smallCaps/>
      <w:color w:val="376092" w:themeColor="accent1" w:themeShade="BF"/>
      <w:spacing w:val="5"/>
    </w:rPr>
  </w:style>
  <w:style w:type="character" w:customStyle="1" w:styleId="38">
    <w:name w:val="Balloon Text Char"/>
    <w:basedOn w:val="11"/>
    <w:link w:val="13"/>
    <w:semiHidden/>
    <w:uiPriority w:val="99"/>
    <w:rPr>
      <w:rFonts w:ascii="Tahoma" w:hAnsi="Tahoma" w:eastAsia="Times New Roman" w:cs="Tahoma"/>
      <w:kern w:val="0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microsoft.com/office/2007/relationships/hdphoto" Target="media/image5.wdp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1375</Words>
  <Characters>9719</Characters>
  <Lines>80</Lines>
  <Paragraphs>22</Paragraphs>
  <TotalTime>0</TotalTime>
  <ScaleCrop>false</ScaleCrop>
  <LinksUpToDate>false</LinksUpToDate>
  <CharactersWithSpaces>10840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2025-10-29T07:33:00Z</dcterms:created>
  <dc:creator>INTEL</dc:creator>
  <cp:lastModifiedBy>HAFIZAH COMPUTER</cp:lastModifiedBy>
  <dcterms:modified xsi:type="dcterms:W3CDTF">2026-07-16T01:58:03Z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eyJoZGlkIjoiMjYyM2ZkN2M1MWE3NjdkMjlmNDIwZWJiYzVmOGE2ZDAifQ==</vt:lpwstr>
  </property>
  <property fmtid="{D5CDD505-2E9C-101B-9397-08002B2CF9AE}" pid="3" name="KSOProductBuildVer">
    <vt:lpwstr>1033-12.1.0.26880</vt:lpwstr>
  </property>
  <property fmtid="{D5CDD505-2E9C-101B-9397-08002B2CF9AE}" pid="4" name="ICV">
    <vt:lpwstr>33B50966D65E44649924FCC80FAEED5D_12</vt:lpwstr>
  </property>
</Properties>
</file>