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989FA">
      <w:pPr>
        <w:ind w:left="284"/>
        <w:rPr>
          <w:rFonts w:eastAsia="Calibri"/>
          <w:sz w:val="22"/>
          <w:szCs w:val="22"/>
        </w:rPr>
      </w:pPr>
    </w:p>
    <w:tbl>
      <w:tblPr>
        <w:tblStyle w:val="12"/>
        <w:tblW w:w="12906"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2"/>
        <w:gridCol w:w="633"/>
        <w:gridCol w:w="1460"/>
        <w:gridCol w:w="1098"/>
        <w:gridCol w:w="602"/>
        <w:gridCol w:w="1841"/>
        <w:gridCol w:w="283"/>
        <w:gridCol w:w="550"/>
        <w:gridCol w:w="16"/>
        <w:gridCol w:w="1137"/>
        <w:gridCol w:w="296"/>
        <w:gridCol w:w="850"/>
        <w:gridCol w:w="709"/>
        <w:gridCol w:w="1418"/>
        <w:gridCol w:w="141"/>
        <w:gridCol w:w="1140"/>
      </w:tblGrid>
      <w:tr w14:paraId="2FAEA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shd w:val="clear" w:color="auto" w:fill="DAEEF3"/>
            <w:vAlign w:val="center"/>
          </w:tcPr>
          <w:p w14:paraId="76FF161B">
            <w:pPr>
              <w:jc w:val="center"/>
              <w:rPr>
                <w:rFonts w:eastAsia="Calibri"/>
                <w:b/>
              </w:rPr>
            </w:pPr>
            <w:r>
              <w:drawing>
                <wp:inline distT="0" distB="0" distL="0" distR="0">
                  <wp:extent cx="514985" cy="558800"/>
                  <wp:effectExtent l="0" t="0" r="0" b="0"/>
                  <wp:docPr id="1120259678" name="Picture 1120259678" descr="Description: D:\1. Badan Penjaminan Mutu UBM Gorontalo\LOGO UBMG transpa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59678" name="Picture 1120259678" descr="Description: D:\1. Badan Penjaminan Mutu UBM Gorontalo\LOGO UBMG transparan.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flipH="1">
                            <a:off x="0" y="0"/>
                            <a:ext cx="520744" cy="564970"/>
                          </a:xfrm>
                          <a:prstGeom prst="rect">
                            <a:avLst/>
                          </a:prstGeom>
                          <a:noFill/>
                          <a:ln>
                            <a:noFill/>
                          </a:ln>
                        </pic:spPr>
                      </pic:pic>
                    </a:graphicData>
                  </a:graphic>
                </wp:inline>
              </w:drawing>
            </w:r>
          </w:p>
        </w:tc>
        <w:tc>
          <w:tcPr>
            <w:tcW w:w="10260" w:type="dxa"/>
            <w:gridSpan w:val="12"/>
            <w:shd w:val="clear" w:color="auto" w:fill="DAEEF3"/>
          </w:tcPr>
          <w:p w14:paraId="3300054B">
            <w:pPr>
              <w:jc w:val="center"/>
              <w:rPr>
                <w:b/>
              </w:rPr>
            </w:pPr>
            <w:r>
              <w:rPr>
                <w:b/>
              </w:rPr>
              <w:t>UNIVERSITAS BINA MANDIRI GORONTALO</w:t>
            </w:r>
          </w:p>
          <w:p w14:paraId="22D7CEE9">
            <w:pPr>
              <w:jc w:val="center"/>
              <w:rPr>
                <w:b/>
                <w:sz w:val="22"/>
                <w:szCs w:val="14"/>
              </w:rPr>
            </w:pPr>
            <w:r>
              <w:rPr>
                <w:b/>
                <w:sz w:val="22"/>
                <w:szCs w:val="14"/>
              </w:rPr>
              <w:t>FAKULTAS SAINS TEKNOLOGI DAN ILMU KESEHATAN</w:t>
            </w:r>
          </w:p>
          <w:p w14:paraId="4C29911E">
            <w:pPr>
              <w:jc w:val="center"/>
              <w:rPr>
                <w:rFonts w:eastAsia="Cambria"/>
                <w:b/>
                <w:lang w:val="sv-SE"/>
              </w:rPr>
            </w:pPr>
            <w:r>
              <w:rPr>
                <w:b/>
                <w:sz w:val="26"/>
                <w:szCs w:val="26"/>
              </w:rPr>
              <w:t xml:space="preserve">PROGRAM STUDI S-1 KESELAMATAN DAN KESEHATAN KERJA </w:t>
            </w:r>
          </w:p>
        </w:tc>
        <w:tc>
          <w:tcPr>
            <w:tcW w:w="1281" w:type="dxa"/>
            <w:gridSpan w:val="2"/>
            <w:shd w:val="clear" w:color="auto" w:fill="DAEEF3"/>
          </w:tcPr>
          <w:p w14:paraId="71B108E2">
            <w:pPr>
              <w:jc w:val="center"/>
              <w:rPr>
                <w:rFonts w:eastAsia="Cambria"/>
                <w:b/>
              </w:rPr>
            </w:pPr>
            <w:r>
              <w:rPr>
                <w:rFonts w:eastAsia="Cambria"/>
                <w:b/>
              </w:rPr>
              <w:t>Kode Dokumen</w:t>
            </w:r>
          </w:p>
        </w:tc>
      </w:tr>
      <w:tr w14:paraId="7C6A2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906" w:type="dxa"/>
            <w:gridSpan w:val="16"/>
            <w:shd w:val="clear" w:color="auto" w:fill="DAEEF3"/>
          </w:tcPr>
          <w:p w14:paraId="5B9EF6AD">
            <w:pPr>
              <w:jc w:val="center"/>
              <w:rPr>
                <w:rFonts w:eastAsia="Cambria"/>
                <w:b/>
              </w:rPr>
            </w:pPr>
            <w:r>
              <w:rPr>
                <w:rFonts w:eastAsia="Cambria"/>
                <w:b/>
              </w:rPr>
              <w:t>RENCANA PEMBELAJARAN SEMESTER</w:t>
            </w:r>
          </w:p>
        </w:tc>
      </w:tr>
      <w:tr w14:paraId="40BBE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3" w:type="dxa"/>
            <w:gridSpan w:val="4"/>
            <w:shd w:val="clear" w:color="auto" w:fill="E7E6E6"/>
          </w:tcPr>
          <w:p w14:paraId="0FAC5E80">
            <w:pPr>
              <w:rPr>
                <w:rFonts w:eastAsia="Calibri"/>
                <w:b/>
              </w:rPr>
            </w:pPr>
            <w:r>
              <w:rPr>
                <w:rFonts w:eastAsia="Calibri"/>
                <w:b/>
              </w:rPr>
              <w:t>MATA KULIAH (MK)</w:t>
            </w:r>
          </w:p>
        </w:tc>
        <w:tc>
          <w:tcPr>
            <w:tcW w:w="2443" w:type="dxa"/>
            <w:gridSpan w:val="2"/>
            <w:shd w:val="clear" w:color="auto" w:fill="E7E6E6"/>
          </w:tcPr>
          <w:p w14:paraId="62B20B1F">
            <w:pPr>
              <w:rPr>
                <w:rFonts w:eastAsia="Calibri"/>
                <w:b/>
              </w:rPr>
            </w:pPr>
            <w:r>
              <w:rPr>
                <w:rFonts w:eastAsia="Calibri"/>
                <w:b/>
              </w:rPr>
              <w:t>KODE</w:t>
            </w:r>
          </w:p>
        </w:tc>
        <w:tc>
          <w:tcPr>
            <w:tcW w:w="2282" w:type="dxa"/>
            <w:gridSpan w:val="5"/>
            <w:shd w:val="clear" w:color="auto" w:fill="E7E6E6"/>
          </w:tcPr>
          <w:p w14:paraId="63618E0F">
            <w:pPr>
              <w:rPr>
                <w:rFonts w:eastAsia="Calibri"/>
                <w:b/>
              </w:rPr>
            </w:pPr>
            <w:r>
              <w:rPr>
                <w:rFonts w:eastAsia="Calibri"/>
                <w:b/>
              </w:rPr>
              <w:t>Rumpun MK</w:t>
            </w:r>
          </w:p>
        </w:tc>
        <w:tc>
          <w:tcPr>
            <w:tcW w:w="1559" w:type="dxa"/>
            <w:gridSpan w:val="2"/>
            <w:shd w:val="clear" w:color="auto" w:fill="E7E6E6"/>
          </w:tcPr>
          <w:p w14:paraId="3093C192">
            <w:pPr>
              <w:rPr>
                <w:rFonts w:eastAsia="Calibri"/>
                <w:b/>
              </w:rPr>
            </w:pPr>
            <w:r>
              <w:rPr>
                <w:rFonts w:eastAsia="Calibri"/>
                <w:b/>
              </w:rPr>
              <w:t>BOBOT (sks)</w:t>
            </w:r>
          </w:p>
        </w:tc>
        <w:tc>
          <w:tcPr>
            <w:tcW w:w="1418" w:type="dxa"/>
            <w:shd w:val="clear" w:color="auto" w:fill="E7E6E6"/>
          </w:tcPr>
          <w:p w14:paraId="2F75DC00">
            <w:pPr>
              <w:rPr>
                <w:rFonts w:eastAsia="Calibri"/>
                <w:b/>
              </w:rPr>
            </w:pPr>
            <w:r>
              <w:rPr>
                <w:rFonts w:eastAsia="Calibri"/>
                <w:b/>
              </w:rPr>
              <w:t>SEMESTER</w:t>
            </w:r>
          </w:p>
        </w:tc>
        <w:tc>
          <w:tcPr>
            <w:tcW w:w="1281" w:type="dxa"/>
            <w:gridSpan w:val="2"/>
            <w:shd w:val="clear" w:color="auto" w:fill="E7E6E6"/>
          </w:tcPr>
          <w:p w14:paraId="5785BD4C">
            <w:pPr>
              <w:rPr>
                <w:rFonts w:eastAsia="Calibri"/>
                <w:b/>
              </w:rPr>
            </w:pPr>
            <w:r>
              <w:rPr>
                <w:rFonts w:eastAsia="Calibri"/>
                <w:b/>
              </w:rPr>
              <w:t>Tgl Penyusunan</w:t>
            </w:r>
          </w:p>
        </w:tc>
      </w:tr>
      <w:tr w14:paraId="0EC9F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3" w:type="dxa"/>
            <w:gridSpan w:val="4"/>
          </w:tcPr>
          <w:p w14:paraId="03FA7627">
            <w:pPr>
              <w:rPr>
                <w:rFonts w:eastAsia="Calibri"/>
                <w:b/>
              </w:rPr>
            </w:pPr>
            <w:r>
              <w:rPr>
                <w:sz w:val="24"/>
                <w:szCs w:val="24"/>
              </w:rPr>
              <w:t>Bahaya dan Risiko Psikososial Di Tempat Kerja</w:t>
            </w:r>
          </w:p>
        </w:tc>
        <w:tc>
          <w:tcPr>
            <w:tcW w:w="2443" w:type="dxa"/>
            <w:gridSpan w:val="2"/>
          </w:tcPr>
          <w:p w14:paraId="3A9359AF">
            <w:pPr>
              <w:rPr>
                <w:rFonts w:eastAsia="Calibri"/>
              </w:rPr>
            </w:pPr>
            <w:r>
              <w:rPr>
                <w:rFonts w:eastAsia="Calibri"/>
              </w:rPr>
              <w:t>23252309</w:t>
            </w:r>
          </w:p>
        </w:tc>
        <w:tc>
          <w:tcPr>
            <w:tcW w:w="2282" w:type="dxa"/>
            <w:gridSpan w:val="5"/>
          </w:tcPr>
          <w:p w14:paraId="41E46C29">
            <w:pPr>
              <w:rPr>
                <w:rFonts w:eastAsia="Calibri"/>
              </w:rPr>
            </w:pPr>
          </w:p>
        </w:tc>
        <w:tc>
          <w:tcPr>
            <w:tcW w:w="850" w:type="dxa"/>
          </w:tcPr>
          <w:p w14:paraId="731635B6">
            <w:pPr>
              <w:jc w:val="center"/>
              <w:rPr>
                <w:rFonts w:eastAsia="Calibri"/>
                <w:b/>
              </w:rPr>
            </w:pPr>
            <w:r>
              <w:rPr>
                <w:rFonts w:eastAsia="Calibri"/>
                <w:b/>
              </w:rPr>
              <w:t>T=2</w:t>
            </w:r>
          </w:p>
        </w:tc>
        <w:tc>
          <w:tcPr>
            <w:tcW w:w="709" w:type="dxa"/>
          </w:tcPr>
          <w:p w14:paraId="361778A2">
            <w:pPr>
              <w:jc w:val="center"/>
              <w:rPr>
                <w:rFonts w:eastAsia="Calibri"/>
                <w:b/>
              </w:rPr>
            </w:pPr>
            <w:r>
              <w:rPr>
                <w:rFonts w:eastAsia="Calibri"/>
                <w:b/>
              </w:rPr>
              <w:t>P=0</w:t>
            </w:r>
          </w:p>
        </w:tc>
        <w:tc>
          <w:tcPr>
            <w:tcW w:w="1418" w:type="dxa"/>
          </w:tcPr>
          <w:p w14:paraId="3D7BBFE2">
            <w:pPr>
              <w:jc w:val="center"/>
              <w:rPr>
                <w:rFonts w:eastAsia="Calibri"/>
              </w:rPr>
            </w:pPr>
            <w:r>
              <w:rPr>
                <w:rFonts w:eastAsia="Calibri"/>
              </w:rPr>
              <w:t>3</w:t>
            </w:r>
          </w:p>
        </w:tc>
        <w:tc>
          <w:tcPr>
            <w:tcW w:w="1281" w:type="dxa"/>
            <w:gridSpan w:val="2"/>
          </w:tcPr>
          <w:p w14:paraId="4F7D238F">
            <w:pPr>
              <w:rPr>
                <w:rFonts w:eastAsia="Calibri"/>
              </w:rPr>
            </w:pPr>
            <w:r>
              <w:rPr>
                <w:rFonts w:eastAsia="Calibri"/>
              </w:rPr>
              <w:t>23 September 2025</w:t>
            </w:r>
          </w:p>
        </w:tc>
      </w:tr>
      <w:tr w14:paraId="58BC3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923" w:type="dxa"/>
            <w:gridSpan w:val="4"/>
            <w:vMerge w:val="restart"/>
          </w:tcPr>
          <w:p w14:paraId="74633285">
            <w:pPr>
              <w:rPr>
                <w:rFonts w:eastAsia="Calibri"/>
                <w:b/>
              </w:rPr>
            </w:pPr>
            <w:r>
              <w:rPr>
                <w:rFonts w:eastAsia="Calibri"/>
                <w:b/>
              </w:rPr>
              <w:t>OTORISASI</w:t>
            </w:r>
          </w:p>
        </w:tc>
        <w:tc>
          <w:tcPr>
            <w:tcW w:w="3292" w:type="dxa"/>
            <w:gridSpan w:val="5"/>
            <w:shd w:val="clear" w:color="auto" w:fill="E7E6E6"/>
          </w:tcPr>
          <w:p w14:paraId="1C9611A1">
            <w:pPr>
              <w:rPr>
                <w:rFonts w:eastAsia="Calibri"/>
                <w:b/>
              </w:rPr>
            </w:pPr>
            <w:r>
              <w:rPr>
                <w:sz w:val="22"/>
              </w:rPr>
              <w:drawing>
                <wp:anchor distT="0" distB="0" distL="114300" distR="114300" simplePos="0" relativeHeight="251660288" behindDoc="1" locked="0" layoutInCell="1" allowOverlap="1">
                  <wp:simplePos x="0" y="0"/>
                  <wp:positionH relativeFrom="column">
                    <wp:posOffset>659765</wp:posOffset>
                  </wp:positionH>
                  <wp:positionV relativeFrom="paragraph">
                    <wp:posOffset>125095</wp:posOffset>
                  </wp:positionV>
                  <wp:extent cx="595630" cy="498475"/>
                  <wp:effectExtent l="0" t="38100" r="0" b="0"/>
                  <wp:wrapNone/>
                  <wp:docPr id="3" name="Picture 3" descr="C:\Users\Lenovo\Downloads\WhatsApp Image 2025-09-30 at 10.56.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Lenovo\Downloads\WhatsApp Image 2025-09-30 at 10.56.59.jpeg"/>
                          <pic:cNvPicPr>
                            <a:picLocks noChangeAspect="1" noChangeArrowheads="1"/>
                          </pic:cNvPicPr>
                        </pic:nvPicPr>
                        <pic:blipFill>
                          <a:blip r:embed="rId7" cstate="print">
                            <a:clrChange>
                              <a:clrFrom>
                                <a:srgbClr val="FCFCFC"/>
                              </a:clrFrom>
                              <a:clrTo>
                                <a:srgbClr val="FCFCFC">
                                  <a:alpha val="0"/>
                                </a:srgbClr>
                              </a:clrTo>
                            </a:clrChange>
                            <a:extLst>
                              <a:ext uri="{28A0092B-C50C-407E-A947-70E740481C1C}">
                                <a14:useLocalDpi xmlns:a14="http://schemas.microsoft.com/office/drawing/2010/main" val="0"/>
                              </a:ext>
                            </a:extLst>
                          </a:blip>
                          <a:srcRect l="4061" t="36500" r="18261" b="17552"/>
                          <a:stretch>
                            <a:fillRect/>
                          </a:stretch>
                        </pic:blipFill>
                        <pic:spPr>
                          <a:xfrm rot="1575041">
                            <a:off x="0" y="0"/>
                            <a:ext cx="595936" cy="498388"/>
                          </a:xfrm>
                          <a:prstGeom prst="rect">
                            <a:avLst/>
                          </a:prstGeom>
                          <a:noFill/>
                          <a:ln>
                            <a:noFill/>
                          </a:ln>
                        </pic:spPr>
                      </pic:pic>
                    </a:graphicData>
                  </a:graphic>
                </wp:anchor>
              </w:drawing>
            </w:r>
            <w:r>
              <w:rPr>
                <w:rFonts w:eastAsia="Calibri"/>
                <w:b/>
              </w:rPr>
              <w:t>Pengembang RPS</w:t>
            </w:r>
          </w:p>
        </w:tc>
        <w:tc>
          <w:tcPr>
            <w:tcW w:w="2992" w:type="dxa"/>
            <w:gridSpan w:val="4"/>
            <w:shd w:val="clear" w:color="auto" w:fill="E7E6E6"/>
          </w:tcPr>
          <w:p w14:paraId="442F03F6">
            <w:pPr>
              <w:rPr>
                <w:rFonts w:eastAsia="Calibri"/>
                <w:b/>
              </w:rPr>
            </w:pPr>
            <w:r>
              <w:rPr>
                <w:rFonts w:eastAsia="Calibri"/>
                <w:b/>
              </w:rPr>
              <w:t>Koordinator RMK</w:t>
            </w:r>
          </w:p>
        </w:tc>
        <w:tc>
          <w:tcPr>
            <w:tcW w:w="2699" w:type="dxa"/>
            <w:gridSpan w:val="3"/>
            <w:shd w:val="clear" w:color="auto" w:fill="E7E6E6"/>
          </w:tcPr>
          <w:p w14:paraId="5AB7D03A">
            <w:pPr>
              <w:rPr>
                <w:rFonts w:eastAsia="Calibri"/>
                <w:b/>
              </w:rPr>
            </w:pPr>
            <w:r>
              <w:rPr>
                <w:rFonts w:hint="default" w:eastAsia="Calibri"/>
                <w:b/>
                <w:lang w:val="en-US"/>
              </w:rPr>
              <w:drawing>
                <wp:anchor distT="0" distB="0" distL="114300" distR="114300" simplePos="0" relativeHeight="251661312" behindDoc="1" locked="0" layoutInCell="1" allowOverlap="1">
                  <wp:simplePos x="0" y="0"/>
                  <wp:positionH relativeFrom="column">
                    <wp:posOffset>180975</wp:posOffset>
                  </wp:positionH>
                  <wp:positionV relativeFrom="paragraph">
                    <wp:posOffset>135890</wp:posOffset>
                  </wp:positionV>
                  <wp:extent cx="1128395" cy="620395"/>
                  <wp:effectExtent l="0" t="0" r="14605" b="7620"/>
                  <wp:wrapNone/>
                  <wp:docPr id="1" name="Picture 1" descr="ttd pak ar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td pak arpin"/>
                          <pic:cNvPicPr>
                            <a:picLocks noChangeAspect="1"/>
                          </pic:cNvPicPr>
                        </pic:nvPicPr>
                        <pic:blipFill>
                          <a:blip r:embed="rId8"/>
                          <a:stretch>
                            <a:fillRect/>
                          </a:stretch>
                        </pic:blipFill>
                        <pic:spPr>
                          <a:xfrm>
                            <a:off x="0" y="0"/>
                            <a:ext cx="1128395" cy="620395"/>
                          </a:xfrm>
                          <a:prstGeom prst="rect">
                            <a:avLst/>
                          </a:prstGeom>
                        </pic:spPr>
                      </pic:pic>
                    </a:graphicData>
                  </a:graphic>
                </wp:anchor>
              </w:drawing>
            </w:r>
            <w:r>
              <w:rPr>
                <w:rFonts w:eastAsia="Calibri"/>
                <w:b/>
              </w:rPr>
              <w:t>Ketua PRODI</w:t>
            </w:r>
          </w:p>
        </w:tc>
      </w:tr>
      <w:tr w14:paraId="17C94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trPr>
        <w:tc>
          <w:tcPr>
            <w:tcW w:w="3923" w:type="dxa"/>
            <w:gridSpan w:val="4"/>
            <w:vMerge w:val="continue"/>
          </w:tcPr>
          <w:p w14:paraId="475AC08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b/>
              </w:rPr>
            </w:pPr>
          </w:p>
        </w:tc>
        <w:tc>
          <w:tcPr>
            <w:tcW w:w="3292" w:type="dxa"/>
            <w:gridSpan w:val="5"/>
            <w:tcBorders>
              <w:bottom w:val="single" w:color="000000" w:sz="4" w:space="0"/>
            </w:tcBorders>
          </w:tcPr>
          <w:p w14:paraId="7F99201B">
            <w:pPr>
              <w:jc w:val="center"/>
              <w:rPr>
                <w:rFonts w:eastAsia="Calibri"/>
                <w:b/>
                <w:bCs/>
              </w:rPr>
            </w:pPr>
          </w:p>
          <w:p w14:paraId="3071B1EE">
            <w:pPr>
              <w:jc w:val="center"/>
              <w:rPr>
                <w:rFonts w:eastAsia="Calibri"/>
                <w:b/>
                <w:bCs/>
              </w:rPr>
            </w:pPr>
          </w:p>
          <w:p w14:paraId="36F77B17">
            <w:pPr>
              <w:jc w:val="center"/>
              <w:rPr>
                <w:rFonts w:eastAsia="Calibri"/>
                <w:b/>
                <w:bCs/>
              </w:rPr>
            </w:pPr>
          </w:p>
          <w:p w14:paraId="38103F55">
            <w:pPr>
              <w:jc w:val="center"/>
              <w:rPr>
                <w:rFonts w:eastAsia="Calibri"/>
                <w:b/>
                <w:bCs/>
              </w:rPr>
            </w:pPr>
            <w:r>
              <w:rPr>
                <w:rFonts w:eastAsia="Calibri"/>
                <w:b/>
                <w:bCs/>
              </w:rPr>
              <w:t>Olivia Maharani Mohamad, S.Kep., M.K.M</w:t>
            </w:r>
          </w:p>
        </w:tc>
        <w:tc>
          <w:tcPr>
            <w:tcW w:w="2992" w:type="dxa"/>
            <w:gridSpan w:val="4"/>
            <w:tcBorders>
              <w:bottom w:val="single" w:color="000000" w:sz="4" w:space="0"/>
            </w:tcBorders>
          </w:tcPr>
          <w:p w14:paraId="625A8375">
            <w:pPr>
              <w:jc w:val="center"/>
              <w:rPr>
                <w:rFonts w:eastAsia="Calibri"/>
                <w:b/>
              </w:rPr>
            </w:pPr>
            <w:r>
              <w:drawing>
                <wp:anchor distT="0" distB="0" distL="0" distR="0" simplePos="0" relativeHeight="251659264" behindDoc="1" locked="0" layoutInCell="1" allowOverlap="1">
                  <wp:simplePos x="0" y="0"/>
                  <wp:positionH relativeFrom="column">
                    <wp:posOffset>436245</wp:posOffset>
                  </wp:positionH>
                  <wp:positionV relativeFrom="paragraph">
                    <wp:posOffset>20320</wp:posOffset>
                  </wp:positionV>
                  <wp:extent cx="819150" cy="454660"/>
                  <wp:effectExtent l="0" t="0" r="0" b="2540"/>
                  <wp:wrapNone/>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mbar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9150" cy="454660"/>
                          </a:xfrm>
                          <a:prstGeom prst="rect">
                            <a:avLst/>
                          </a:prstGeom>
                        </pic:spPr>
                      </pic:pic>
                    </a:graphicData>
                  </a:graphic>
                </wp:anchor>
              </w:drawing>
            </w:r>
          </w:p>
          <w:p w14:paraId="457208B4">
            <w:pPr>
              <w:jc w:val="center"/>
              <w:rPr>
                <w:rFonts w:eastAsia="Calibri"/>
                <w:b/>
              </w:rPr>
            </w:pPr>
          </w:p>
          <w:p w14:paraId="4964B16D">
            <w:pPr>
              <w:jc w:val="center"/>
              <w:rPr>
                <w:rFonts w:eastAsia="Calibri"/>
                <w:b/>
              </w:rPr>
            </w:pPr>
          </w:p>
          <w:p w14:paraId="1072168F">
            <w:pPr>
              <w:jc w:val="center"/>
              <w:rPr>
                <w:rFonts w:eastAsia="Calibri"/>
                <w:b/>
                <w:bCs/>
              </w:rPr>
            </w:pPr>
            <w:r>
              <w:rPr>
                <w:rFonts w:eastAsia="Calibri"/>
                <w:b/>
                <w:bCs/>
              </w:rPr>
              <w:t>Nurhamida, S.KM., M.K.M</w:t>
            </w:r>
          </w:p>
        </w:tc>
        <w:tc>
          <w:tcPr>
            <w:tcW w:w="2699" w:type="dxa"/>
            <w:gridSpan w:val="3"/>
            <w:tcBorders>
              <w:bottom w:val="single" w:color="000000" w:sz="4" w:space="0"/>
            </w:tcBorders>
          </w:tcPr>
          <w:p w14:paraId="03D813E4">
            <w:pPr>
              <w:jc w:val="center"/>
              <w:rPr>
                <w:rFonts w:eastAsia="Calibri"/>
                <w:b/>
              </w:rPr>
            </w:pPr>
          </w:p>
          <w:p w14:paraId="137FBE30">
            <w:pPr>
              <w:jc w:val="center"/>
              <w:rPr>
                <w:rFonts w:hint="default" w:eastAsia="Calibri"/>
                <w:b/>
                <w:lang w:val="en-US"/>
              </w:rPr>
            </w:pPr>
          </w:p>
          <w:p w14:paraId="4BEC7581">
            <w:pPr>
              <w:jc w:val="center"/>
              <w:rPr>
                <w:rFonts w:eastAsia="Calibri"/>
                <w:b/>
              </w:rPr>
            </w:pPr>
          </w:p>
          <w:p w14:paraId="26AFFF4C">
            <w:pPr>
              <w:jc w:val="center"/>
              <w:rPr>
                <w:rFonts w:eastAsia="Calibri"/>
                <w:b/>
              </w:rPr>
            </w:pPr>
            <w:r>
              <w:rPr>
                <w:rFonts w:eastAsia="Calibri"/>
                <w:b/>
              </w:rPr>
              <w:t>Arpin, S.KM., M.Kes</w:t>
            </w:r>
          </w:p>
          <w:p w14:paraId="48E1C181">
            <w:pPr>
              <w:jc w:val="center"/>
              <w:rPr>
                <w:rFonts w:eastAsia="Calibri"/>
                <w:b/>
              </w:rPr>
            </w:pPr>
          </w:p>
        </w:tc>
      </w:tr>
      <w:tr w14:paraId="2B7D4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restart"/>
          </w:tcPr>
          <w:p w14:paraId="1F16D953">
            <w:pPr>
              <w:rPr>
                <w:rFonts w:eastAsia="Calibri"/>
                <w:b/>
              </w:rPr>
            </w:pPr>
            <w:r>
              <w:rPr>
                <w:rFonts w:eastAsia="Calibri"/>
                <w:b/>
              </w:rPr>
              <w:t>Capaian Pembelajaran (CP)</w:t>
            </w:r>
          </w:p>
        </w:tc>
        <w:tc>
          <w:tcPr>
            <w:tcW w:w="5850" w:type="dxa"/>
            <w:gridSpan w:val="7"/>
            <w:tcBorders>
              <w:bottom w:val="single" w:color="000000" w:sz="4" w:space="0"/>
            </w:tcBorders>
            <w:shd w:val="clear" w:color="auto" w:fill="E7E6E6"/>
          </w:tcPr>
          <w:p w14:paraId="4A9C121A">
            <w:pPr>
              <w:tabs>
                <w:tab w:val="left" w:pos="1806"/>
              </w:tabs>
              <w:rPr>
                <w:rFonts w:eastAsia="Calibri"/>
                <w:b/>
                <w:lang w:val="sv-SE"/>
              </w:rPr>
            </w:pPr>
            <w:r>
              <w:rPr>
                <w:rFonts w:eastAsia="Calibri"/>
                <w:b/>
                <w:lang w:val="sv-SE"/>
              </w:rPr>
              <w:t xml:space="preserve">CPL-PRODI  yang dibebankan pada MK       </w:t>
            </w:r>
          </w:p>
        </w:tc>
        <w:tc>
          <w:tcPr>
            <w:tcW w:w="5691" w:type="dxa"/>
            <w:gridSpan w:val="7"/>
            <w:tcBorders>
              <w:bottom w:val="single" w:color="FFFFFF" w:sz="8" w:space="0"/>
            </w:tcBorders>
          </w:tcPr>
          <w:p w14:paraId="606F5E30">
            <w:pPr>
              <w:tabs>
                <w:tab w:val="left" w:pos="1806"/>
              </w:tabs>
              <w:rPr>
                <w:rFonts w:eastAsia="Calibri"/>
                <w:b/>
                <w:lang w:val="sv-SE"/>
              </w:rPr>
            </w:pPr>
          </w:p>
        </w:tc>
      </w:tr>
      <w:tr w14:paraId="530D55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continue"/>
          </w:tcPr>
          <w:p w14:paraId="7F8463A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b/>
                <w:lang w:val="sv-SE"/>
              </w:rPr>
            </w:pPr>
          </w:p>
        </w:tc>
        <w:tc>
          <w:tcPr>
            <w:tcW w:w="1460" w:type="dxa"/>
          </w:tcPr>
          <w:p w14:paraId="14F11A9A">
            <w:pPr>
              <w:rPr>
                <w:rFonts w:eastAsia="Calibri"/>
              </w:rPr>
            </w:pPr>
            <w:r>
              <w:rPr>
                <w:rFonts w:eastAsia="Calibri"/>
              </w:rPr>
              <w:t>CPL1</w:t>
            </w:r>
          </w:p>
          <w:p w14:paraId="00963A53">
            <w:pPr>
              <w:rPr>
                <w:rFonts w:eastAsia="Calibri"/>
              </w:rPr>
            </w:pPr>
          </w:p>
        </w:tc>
        <w:tc>
          <w:tcPr>
            <w:tcW w:w="10081" w:type="dxa"/>
            <w:gridSpan w:val="13"/>
          </w:tcPr>
          <w:p w14:paraId="1E48345B">
            <w:pPr>
              <w:rPr>
                <w:rFonts w:eastAsia="Calibri"/>
              </w:rPr>
            </w:pPr>
            <w:r>
              <w:t>Bertakwa kepada Tuhan Yang Maha Esa, menjunjung tinggi nilai kemanusiaan, etika, norma hukum, serta menunjukkan sikap profesional, tanggung jawab, dan nasionalisme dalam praktik K3.</w:t>
            </w:r>
          </w:p>
        </w:tc>
      </w:tr>
      <w:tr w14:paraId="765A47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continue"/>
          </w:tcPr>
          <w:p w14:paraId="419088A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460" w:type="dxa"/>
          </w:tcPr>
          <w:p w14:paraId="60D6F868">
            <w:pPr>
              <w:rPr>
                <w:rFonts w:eastAsia="Calibri"/>
              </w:rPr>
            </w:pPr>
            <w:r>
              <w:rPr>
                <w:rFonts w:eastAsia="Calibri"/>
              </w:rPr>
              <w:t>CPL2</w:t>
            </w:r>
          </w:p>
        </w:tc>
        <w:tc>
          <w:tcPr>
            <w:tcW w:w="10081" w:type="dxa"/>
            <w:gridSpan w:val="13"/>
          </w:tcPr>
          <w:p w14:paraId="32049F26">
            <w:pPr>
              <w:rPr>
                <w:rFonts w:eastAsia="Calibri"/>
              </w:rPr>
            </w:pPr>
            <w:r>
              <w:t>Menguasai konsep, teori, metodologi, dan prinsip-prinsip K3 termasuk aspe</w:t>
            </w:r>
            <w:bookmarkStart w:id="0" w:name="_GoBack"/>
            <w:bookmarkEnd w:id="0"/>
            <w:r>
              <w:t>k biomedis, lingkungan, ergonomi, psikososial, serta regulasi nasional dan internasional yang relevan.</w:t>
            </w:r>
          </w:p>
        </w:tc>
      </w:tr>
      <w:tr w14:paraId="47ECC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continue"/>
          </w:tcPr>
          <w:p w14:paraId="00824D63">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460" w:type="dxa"/>
          </w:tcPr>
          <w:p w14:paraId="21DF7974">
            <w:pPr>
              <w:rPr>
                <w:rFonts w:eastAsia="Calibri"/>
              </w:rPr>
            </w:pPr>
            <w:r>
              <w:rPr>
                <w:rFonts w:eastAsia="Calibri"/>
              </w:rPr>
              <w:t>CPL3</w:t>
            </w:r>
          </w:p>
        </w:tc>
        <w:tc>
          <w:tcPr>
            <w:tcW w:w="10081" w:type="dxa"/>
            <w:gridSpan w:val="13"/>
          </w:tcPr>
          <w:p w14:paraId="15430A3F">
            <w:pPr>
              <w:rPr>
                <w:rFonts w:eastAsia="Calibri"/>
              </w:rPr>
            </w:pPr>
            <w:r>
              <w:t>Mampu menganalisis, merancang, dan mengimplementasikan program K3 berbasis bukti dan standar profesi melalui pendekatan sistematis, inovatif, serta sesuai dengan kebutuhan industri, pemerintahan, dan masyarakat.</w:t>
            </w:r>
          </w:p>
        </w:tc>
      </w:tr>
      <w:tr w14:paraId="7FA43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continue"/>
          </w:tcPr>
          <w:p w14:paraId="553DB6D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460" w:type="dxa"/>
          </w:tcPr>
          <w:p w14:paraId="3B9CE413">
            <w:pPr>
              <w:rPr>
                <w:rFonts w:eastAsia="Calibri"/>
              </w:rPr>
            </w:pPr>
            <w:r>
              <w:rPr>
                <w:rFonts w:eastAsia="Calibri"/>
              </w:rPr>
              <w:t>CPL4</w:t>
            </w:r>
          </w:p>
        </w:tc>
        <w:tc>
          <w:tcPr>
            <w:tcW w:w="10081" w:type="dxa"/>
            <w:gridSpan w:val="13"/>
          </w:tcPr>
          <w:p w14:paraId="0CE671B1">
            <w:pPr>
              <w:rPr>
                <w:rFonts w:eastAsia="Calibri"/>
              </w:rPr>
            </w:pPr>
            <w:r>
              <w:t>Mampu melakukan identifikasi, penilaian, dan pengendalian risiko bahaya fisik, kimia, biologis, ergonomi, dan psikososial di tempat kerja dengan menggunakan metode ilmiah, teknologi informasi, serta instrumen pengukuran yang tepat.</w:t>
            </w:r>
          </w:p>
        </w:tc>
      </w:tr>
      <w:tr w14:paraId="04D2A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continue"/>
          </w:tcPr>
          <w:p w14:paraId="6D0498E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460" w:type="dxa"/>
          </w:tcPr>
          <w:p w14:paraId="646A0525">
            <w:pPr>
              <w:rPr>
                <w:rFonts w:eastAsia="Calibri"/>
              </w:rPr>
            </w:pPr>
            <w:r>
              <w:rPr>
                <w:rFonts w:eastAsia="Calibri"/>
              </w:rPr>
              <w:t>CPL6</w:t>
            </w:r>
          </w:p>
        </w:tc>
        <w:tc>
          <w:tcPr>
            <w:tcW w:w="10081" w:type="dxa"/>
            <w:gridSpan w:val="13"/>
          </w:tcPr>
          <w:p w14:paraId="52543DC6">
            <w:pPr>
              <w:rPr>
                <w:rFonts w:eastAsia="Calibri"/>
              </w:rPr>
            </w:pPr>
            <w:r>
              <w:t>Mampu mengembangkan keterampilan komunikasi efektif, diplomasi, advokasi, serta kolaborasi dalam tim multidisiplin untuk meningkatkan derajat keselamatan dan kesehatan kerja.</w:t>
            </w:r>
          </w:p>
        </w:tc>
      </w:tr>
      <w:tr w14:paraId="75EB7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trPr>
        <w:tc>
          <w:tcPr>
            <w:tcW w:w="1365" w:type="dxa"/>
            <w:gridSpan w:val="2"/>
            <w:vMerge w:val="continue"/>
          </w:tcPr>
          <w:p w14:paraId="6289B39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5850" w:type="dxa"/>
            <w:gridSpan w:val="7"/>
            <w:tcBorders>
              <w:top w:val="single" w:color="000000" w:sz="4" w:space="0"/>
              <w:bottom w:val="single" w:color="000000" w:sz="4" w:space="0"/>
            </w:tcBorders>
            <w:shd w:val="clear" w:color="auto" w:fill="E7E6E6"/>
          </w:tcPr>
          <w:p w14:paraId="57BCCDDA">
            <w:pPr>
              <w:rPr>
                <w:rFonts w:eastAsia="Calibri"/>
                <w:lang w:val="sv-SE"/>
              </w:rPr>
            </w:pPr>
            <w:r>
              <w:rPr>
                <w:rFonts w:eastAsia="Calibri"/>
                <w:b/>
                <w:lang w:val="sv-SE"/>
              </w:rPr>
              <w:t>Capaian Pembelajaran Mata Kuliah (CPMK)</w:t>
            </w:r>
          </w:p>
        </w:tc>
        <w:tc>
          <w:tcPr>
            <w:tcW w:w="5691" w:type="dxa"/>
            <w:gridSpan w:val="7"/>
            <w:tcBorders>
              <w:top w:val="nil"/>
              <w:bottom w:val="nil"/>
            </w:tcBorders>
          </w:tcPr>
          <w:p w14:paraId="0131FE0A">
            <w:pPr>
              <w:rPr>
                <w:rFonts w:eastAsia="Calibri"/>
                <w:lang w:val="sv-SE"/>
              </w:rPr>
            </w:pPr>
          </w:p>
        </w:tc>
      </w:tr>
      <w:tr w14:paraId="66F2D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continue"/>
          </w:tcPr>
          <w:p w14:paraId="6458A6F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lang w:val="sv-SE"/>
              </w:rPr>
            </w:pPr>
          </w:p>
        </w:tc>
        <w:tc>
          <w:tcPr>
            <w:tcW w:w="1460" w:type="dxa"/>
          </w:tcPr>
          <w:p w14:paraId="38094564">
            <w:pPr>
              <w:jc w:val="both"/>
              <w:rPr>
                <w:rFonts w:eastAsia="Calibri"/>
              </w:rPr>
            </w:pPr>
            <w:r>
              <w:rPr>
                <w:rFonts w:eastAsia="Calibri"/>
              </w:rPr>
              <w:t>CPMK1</w:t>
            </w:r>
          </w:p>
        </w:tc>
        <w:tc>
          <w:tcPr>
            <w:tcW w:w="10081" w:type="dxa"/>
            <w:gridSpan w:val="13"/>
          </w:tcPr>
          <w:p w14:paraId="56B7DF00">
            <w:pPr>
              <w:jc w:val="both"/>
              <w:rPr>
                <w:rFonts w:eastAsia="Calibri"/>
                <w:lang w:val="sv-SE"/>
              </w:rPr>
            </w:pPr>
            <w:r>
              <w:t>Mahasiswa mampu menjelaskan konsep dasar bahaya dan risiko psikososial di tempat kerja (CPL1,CPL2)</w:t>
            </w:r>
          </w:p>
        </w:tc>
      </w:tr>
      <w:tr w14:paraId="6A100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continue"/>
          </w:tcPr>
          <w:p w14:paraId="0DFDB68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lang w:val="sv-SE"/>
              </w:rPr>
            </w:pPr>
          </w:p>
        </w:tc>
        <w:tc>
          <w:tcPr>
            <w:tcW w:w="1460" w:type="dxa"/>
          </w:tcPr>
          <w:p w14:paraId="59513156">
            <w:pPr>
              <w:jc w:val="both"/>
              <w:rPr>
                <w:rFonts w:eastAsia="Calibri"/>
              </w:rPr>
            </w:pPr>
            <w:r>
              <w:rPr>
                <w:rFonts w:eastAsia="Calibri"/>
              </w:rPr>
              <w:t>CPMK2</w:t>
            </w:r>
          </w:p>
        </w:tc>
        <w:tc>
          <w:tcPr>
            <w:tcW w:w="10081" w:type="dxa"/>
            <w:gridSpan w:val="13"/>
          </w:tcPr>
          <w:p w14:paraId="1ADEA296">
            <w:pPr>
              <w:jc w:val="both"/>
              <w:rPr>
                <w:rFonts w:eastAsia="Calibri"/>
              </w:rPr>
            </w:pPr>
            <w:r>
              <w:t>Mahasiswa mampu menganalisis faktor penyebab stres kerja, burnout, dan gangguan psikososial lainnya di lingkungan kerja (CPL2, CPL3)</w:t>
            </w:r>
          </w:p>
        </w:tc>
      </w:tr>
      <w:tr w14:paraId="54AEA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continue"/>
          </w:tcPr>
          <w:p w14:paraId="051CBA9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460" w:type="dxa"/>
          </w:tcPr>
          <w:p w14:paraId="3A2FC851">
            <w:pPr>
              <w:jc w:val="both"/>
              <w:rPr>
                <w:rFonts w:eastAsia="Calibri"/>
              </w:rPr>
            </w:pPr>
            <w:r>
              <w:rPr>
                <w:rFonts w:eastAsia="Calibri"/>
              </w:rPr>
              <w:t>CPMK3</w:t>
            </w:r>
          </w:p>
        </w:tc>
        <w:tc>
          <w:tcPr>
            <w:tcW w:w="10081" w:type="dxa"/>
            <w:gridSpan w:val="13"/>
          </w:tcPr>
          <w:p w14:paraId="56249681">
            <w:pPr>
              <w:jc w:val="both"/>
              <w:rPr>
                <w:rFonts w:eastAsia="Calibri"/>
              </w:rPr>
            </w:pPr>
            <w:r>
              <w:t>Mahasiswa mampu melakukan identifikasi dan penilaian risiko psikososial dengan metode yang tepat (CPL4)</w:t>
            </w:r>
          </w:p>
        </w:tc>
      </w:tr>
      <w:tr w14:paraId="07028B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continue"/>
          </w:tcPr>
          <w:p w14:paraId="04D2E5CF">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460" w:type="dxa"/>
          </w:tcPr>
          <w:p w14:paraId="29C6F6DD">
            <w:pPr>
              <w:jc w:val="both"/>
              <w:rPr>
                <w:rFonts w:eastAsia="Calibri"/>
              </w:rPr>
            </w:pPr>
            <w:r>
              <w:rPr>
                <w:rFonts w:eastAsia="Calibri"/>
              </w:rPr>
              <w:t>CPMK4</w:t>
            </w:r>
          </w:p>
        </w:tc>
        <w:tc>
          <w:tcPr>
            <w:tcW w:w="10081" w:type="dxa"/>
            <w:gridSpan w:val="13"/>
          </w:tcPr>
          <w:p w14:paraId="50F94CC2">
            <w:pPr>
              <w:jc w:val="both"/>
              <w:rPr>
                <w:rFonts w:eastAsia="Calibri"/>
              </w:rPr>
            </w:pPr>
            <w:r>
              <w:t>Mahasiswa mampu merancang strategi pengendalian dan intervensi untuk mengurangi risiko psikososial di tempat kerja (CPL3, CPL4)</w:t>
            </w:r>
          </w:p>
        </w:tc>
      </w:tr>
      <w:tr w14:paraId="47F66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continue"/>
          </w:tcPr>
          <w:p w14:paraId="355D2B8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460" w:type="dxa"/>
          </w:tcPr>
          <w:p w14:paraId="525B9ED4">
            <w:pPr>
              <w:jc w:val="both"/>
              <w:rPr>
                <w:rFonts w:eastAsia="Calibri"/>
              </w:rPr>
            </w:pPr>
            <w:r>
              <w:rPr>
                <w:rFonts w:eastAsia="Calibri"/>
              </w:rPr>
              <w:t>CPMK5</w:t>
            </w:r>
          </w:p>
        </w:tc>
        <w:tc>
          <w:tcPr>
            <w:tcW w:w="10081" w:type="dxa"/>
            <w:gridSpan w:val="13"/>
          </w:tcPr>
          <w:p w14:paraId="1FE8FB1E">
            <w:pPr>
              <w:jc w:val="both"/>
              <w:rPr>
                <w:rFonts w:eastAsia="Calibri"/>
              </w:rPr>
            </w:pPr>
            <w:r>
              <w:t>Mahasiswa mampu berkomunikasi, berdiskusi, dan bekerja sama dalam kelompok untuk memecahkan masalah psikososial di tempat kerja (CPL1,CPL6)</w:t>
            </w:r>
          </w:p>
        </w:tc>
      </w:tr>
      <w:tr w14:paraId="682D68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continue"/>
          </w:tcPr>
          <w:p w14:paraId="4C2A06C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5850" w:type="dxa"/>
            <w:gridSpan w:val="7"/>
            <w:shd w:val="clear" w:color="auto" w:fill="D9D9D9"/>
          </w:tcPr>
          <w:p w14:paraId="0353DDFD">
            <w:pPr>
              <w:jc w:val="both"/>
              <w:rPr>
                <w:rFonts w:eastAsia="Calibri"/>
                <w:b/>
              </w:rPr>
            </w:pPr>
            <w:r>
              <w:rPr>
                <w:rFonts w:eastAsia="Calibri"/>
                <w:b/>
              </w:rPr>
              <w:t>Kemampuan akhir tiap tahapan belajar (Sub-CPMK)</w:t>
            </w:r>
          </w:p>
        </w:tc>
        <w:tc>
          <w:tcPr>
            <w:tcW w:w="5691" w:type="dxa"/>
            <w:gridSpan w:val="7"/>
          </w:tcPr>
          <w:p w14:paraId="4377DB85">
            <w:pPr>
              <w:jc w:val="both"/>
              <w:rPr>
                <w:rFonts w:eastAsia="Calibri"/>
              </w:rPr>
            </w:pPr>
          </w:p>
        </w:tc>
      </w:tr>
      <w:tr w14:paraId="0D6F3B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continue"/>
          </w:tcPr>
          <w:p w14:paraId="310AA47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460" w:type="dxa"/>
          </w:tcPr>
          <w:p w14:paraId="00541E6F">
            <w:pPr>
              <w:jc w:val="both"/>
              <w:rPr>
                <w:rFonts w:eastAsia="Calibri"/>
              </w:rPr>
            </w:pPr>
            <w:r>
              <w:rPr>
                <w:rFonts w:eastAsia="Calibri"/>
              </w:rPr>
              <w:t>Sub-CPMK1</w:t>
            </w:r>
          </w:p>
        </w:tc>
        <w:tc>
          <w:tcPr>
            <w:tcW w:w="10081" w:type="dxa"/>
            <w:gridSpan w:val="13"/>
          </w:tcPr>
          <w:p w14:paraId="36203A74">
            <w:pPr>
              <w:jc w:val="both"/>
              <w:rPr>
                <w:rFonts w:eastAsia="Calibri"/>
              </w:rPr>
            </w:pPr>
            <w:r>
              <w:t>Memahami konsep dasar bahaya dan risiko psikososial.</w:t>
            </w:r>
          </w:p>
        </w:tc>
      </w:tr>
      <w:tr w14:paraId="39851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continue"/>
          </w:tcPr>
          <w:p w14:paraId="7F49762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460" w:type="dxa"/>
          </w:tcPr>
          <w:p w14:paraId="4047D220">
            <w:pPr>
              <w:jc w:val="both"/>
              <w:rPr>
                <w:rFonts w:eastAsia="Calibri"/>
              </w:rPr>
            </w:pPr>
            <w:r>
              <w:rPr>
                <w:rFonts w:eastAsia="Calibri"/>
              </w:rPr>
              <w:t>Sub-CPMK2</w:t>
            </w:r>
          </w:p>
        </w:tc>
        <w:tc>
          <w:tcPr>
            <w:tcW w:w="10081" w:type="dxa"/>
            <w:gridSpan w:val="13"/>
          </w:tcPr>
          <w:p w14:paraId="1E54E294">
            <w:pPr>
              <w:jc w:val="both"/>
              <w:rPr>
                <w:rFonts w:eastAsia="Calibri"/>
              </w:rPr>
            </w:pPr>
            <w:r>
              <w:t>Menjelaskan faktor-faktor penyebab stres kerja dan burnout.</w:t>
            </w:r>
          </w:p>
        </w:tc>
      </w:tr>
      <w:tr w14:paraId="5F0C2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continue"/>
          </w:tcPr>
          <w:p w14:paraId="08E2F24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460" w:type="dxa"/>
          </w:tcPr>
          <w:p w14:paraId="0575DD80">
            <w:pPr>
              <w:jc w:val="both"/>
              <w:rPr>
                <w:rFonts w:eastAsia="Calibri"/>
              </w:rPr>
            </w:pPr>
            <w:r>
              <w:rPr>
                <w:rFonts w:eastAsia="Calibri"/>
              </w:rPr>
              <w:t>Sub-CPMK3</w:t>
            </w:r>
          </w:p>
        </w:tc>
        <w:tc>
          <w:tcPr>
            <w:tcW w:w="10081" w:type="dxa"/>
            <w:gridSpan w:val="13"/>
          </w:tcPr>
          <w:p w14:paraId="15BF1819">
            <w:pPr>
              <w:jc w:val="both"/>
            </w:pPr>
            <w:r>
              <w:t>Menganalisis dampak psikososial terhadap kesehatan dan produktivitas.</w:t>
            </w:r>
          </w:p>
        </w:tc>
      </w:tr>
      <w:tr w14:paraId="42397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continue"/>
          </w:tcPr>
          <w:p w14:paraId="4E287A0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460" w:type="dxa"/>
          </w:tcPr>
          <w:p w14:paraId="01DE3F3E">
            <w:pPr>
              <w:jc w:val="both"/>
              <w:rPr>
                <w:rFonts w:eastAsia="Calibri"/>
              </w:rPr>
            </w:pPr>
            <w:r>
              <w:rPr>
                <w:rFonts w:eastAsia="Calibri"/>
              </w:rPr>
              <w:t>Sub-CPMK4</w:t>
            </w:r>
          </w:p>
        </w:tc>
        <w:tc>
          <w:tcPr>
            <w:tcW w:w="10081" w:type="dxa"/>
            <w:gridSpan w:val="13"/>
          </w:tcPr>
          <w:p w14:paraId="462CDD7A">
            <w:pPr>
              <w:jc w:val="both"/>
            </w:pPr>
            <w:r>
              <w:t>Melakukan identifikasi dan penilaian risiko psikososial.</w:t>
            </w:r>
          </w:p>
        </w:tc>
      </w:tr>
      <w:tr w14:paraId="0B394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365" w:type="dxa"/>
            <w:gridSpan w:val="2"/>
            <w:vMerge w:val="continue"/>
          </w:tcPr>
          <w:p w14:paraId="711206C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460" w:type="dxa"/>
          </w:tcPr>
          <w:p w14:paraId="5B9BB05A">
            <w:pPr>
              <w:jc w:val="both"/>
              <w:rPr>
                <w:rFonts w:eastAsia="Calibri"/>
              </w:rPr>
            </w:pPr>
            <w:r>
              <w:rPr>
                <w:rFonts w:eastAsia="Calibri"/>
              </w:rPr>
              <w:t>Sub-CPMK5</w:t>
            </w:r>
          </w:p>
        </w:tc>
        <w:tc>
          <w:tcPr>
            <w:tcW w:w="10081" w:type="dxa"/>
            <w:gridSpan w:val="13"/>
          </w:tcPr>
          <w:p w14:paraId="7EC94A6D">
            <w:pPr>
              <w:jc w:val="both"/>
            </w:pPr>
            <w:r>
              <w:t>Menyusun strategi pencegahan dan pengendalian risiko psikososial.</w:t>
            </w:r>
          </w:p>
        </w:tc>
      </w:tr>
      <w:tr w14:paraId="03CCF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continue"/>
          </w:tcPr>
          <w:p w14:paraId="02FB156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460" w:type="dxa"/>
          </w:tcPr>
          <w:p w14:paraId="756FF264">
            <w:pPr>
              <w:jc w:val="both"/>
              <w:rPr>
                <w:rFonts w:eastAsia="Calibri"/>
              </w:rPr>
            </w:pPr>
            <w:r>
              <w:rPr>
                <w:rFonts w:eastAsia="Calibri"/>
              </w:rPr>
              <w:t>Sub-CPMK6</w:t>
            </w:r>
          </w:p>
        </w:tc>
        <w:tc>
          <w:tcPr>
            <w:tcW w:w="10081" w:type="dxa"/>
            <w:gridSpan w:val="13"/>
          </w:tcPr>
          <w:p w14:paraId="62B2E375">
            <w:pPr>
              <w:jc w:val="both"/>
            </w:pPr>
            <w:r>
              <w:t>Studi kasus dan simulasi manajemen stres kerja.</w:t>
            </w:r>
          </w:p>
        </w:tc>
      </w:tr>
      <w:tr w14:paraId="27061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continue"/>
          </w:tcPr>
          <w:p w14:paraId="40C9471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460" w:type="dxa"/>
          </w:tcPr>
          <w:p w14:paraId="04B9FE0D">
            <w:pPr>
              <w:jc w:val="both"/>
              <w:rPr>
                <w:rFonts w:eastAsia="Calibri"/>
              </w:rPr>
            </w:pPr>
            <w:r>
              <w:rPr>
                <w:rFonts w:eastAsia="Calibri"/>
              </w:rPr>
              <w:t>Sub-CPMK7</w:t>
            </w:r>
          </w:p>
        </w:tc>
        <w:tc>
          <w:tcPr>
            <w:tcW w:w="10081" w:type="dxa"/>
            <w:gridSpan w:val="13"/>
          </w:tcPr>
          <w:p w14:paraId="6E53FC61">
            <w:pPr>
              <w:jc w:val="both"/>
              <w:rPr>
                <w:rFonts w:eastAsia="Calibri"/>
              </w:rPr>
            </w:pPr>
            <w:r>
              <w:t>Penyusunan laporan hasil analisis risiko psikososial.</w:t>
            </w:r>
          </w:p>
        </w:tc>
      </w:tr>
      <w:tr w14:paraId="2683A4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continue"/>
          </w:tcPr>
          <w:p w14:paraId="20A41BB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460" w:type="dxa"/>
          </w:tcPr>
          <w:p w14:paraId="52C90098">
            <w:pPr>
              <w:jc w:val="both"/>
              <w:rPr>
                <w:rFonts w:eastAsia="Calibri"/>
              </w:rPr>
            </w:pPr>
            <w:r>
              <w:rPr>
                <w:rFonts w:eastAsia="Calibri"/>
              </w:rPr>
              <w:t>Sub-CPMK8</w:t>
            </w:r>
          </w:p>
        </w:tc>
        <w:tc>
          <w:tcPr>
            <w:tcW w:w="10081" w:type="dxa"/>
            <w:gridSpan w:val="13"/>
          </w:tcPr>
          <w:p w14:paraId="0428A662">
            <w:pPr>
              <w:jc w:val="both"/>
              <w:rPr>
                <w:rFonts w:eastAsia="Calibri"/>
              </w:rPr>
            </w:pPr>
            <w:r>
              <w:t>Presentasi kelompok dan evaluasi pembelajaran.</w:t>
            </w:r>
          </w:p>
        </w:tc>
      </w:tr>
      <w:tr w14:paraId="3D0E2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continue"/>
          </w:tcPr>
          <w:p w14:paraId="2F91007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5834" w:type="dxa"/>
            <w:gridSpan w:val="6"/>
            <w:shd w:val="clear" w:color="auto" w:fill="BFBFBF"/>
          </w:tcPr>
          <w:p w14:paraId="68CB1C22">
            <w:pPr>
              <w:jc w:val="both"/>
              <w:rPr>
                <w:rFonts w:eastAsia="Calibri"/>
                <w:b/>
                <w:lang w:val="sv-SE"/>
              </w:rPr>
            </w:pPr>
            <w:r>
              <w:rPr>
                <w:rFonts w:eastAsia="Calibri"/>
                <w:b/>
                <w:lang w:val="sv-SE"/>
              </w:rPr>
              <w:t>Korelasi CPMK terhadap Sub-CPMK</w:t>
            </w:r>
          </w:p>
        </w:tc>
        <w:tc>
          <w:tcPr>
            <w:tcW w:w="5707" w:type="dxa"/>
            <w:gridSpan w:val="8"/>
          </w:tcPr>
          <w:p w14:paraId="530334D1">
            <w:pPr>
              <w:jc w:val="both"/>
              <w:rPr>
                <w:rFonts w:eastAsia="Calibri"/>
                <w:lang w:val="sv-SE"/>
              </w:rPr>
            </w:pPr>
          </w:p>
        </w:tc>
      </w:tr>
      <w:tr w14:paraId="7BD21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tcPr>
          <w:p w14:paraId="63315953">
            <w:pPr>
              <w:rPr>
                <w:rFonts w:eastAsia="Calibri"/>
                <w:b/>
                <w:lang w:val="sv-SE"/>
              </w:rPr>
            </w:pPr>
          </w:p>
        </w:tc>
        <w:tc>
          <w:tcPr>
            <w:tcW w:w="11541" w:type="dxa"/>
            <w:gridSpan w:val="14"/>
          </w:tcPr>
          <w:p w14:paraId="773CB7CA">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b/>
                <w:lang w:val="sv-SE"/>
              </w:rPr>
            </w:pPr>
          </w:p>
          <w:tbl>
            <w:tblPr>
              <w:tblStyle w:val="12"/>
              <w:tblW w:w="11316" w:type="dxa"/>
              <w:tblInd w:w="0" w:type="dxa"/>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Layout w:type="fixed"/>
              <w:tblCellMar>
                <w:top w:w="0" w:type="dxa"/>
                <w:left w:w="108" w:type="dxa"/>
                <w:bottom w:w="0" w:type="dxa"/>
                <w:right w:w="108" w:type="dxa"/>
              </w:tblCellMar>
            </w:tblPr>
            <w:tblGrid>
              <w:gridCol w:w="1147"/>
              <w:gridCol w:w="1116"/>
              <w:gridCol w:w="1280"/>
              <w:gridCol w:w="1280"/>
              <w:gridCol w:w="1372"/>
              <w:gridCol w:w="1372"/>
              <w:gridCol w:w="1372"/>
              <w:gridCol w:w="1097"/>
              <w:gridCol w:w="1280"/>
            </w:tblGrid>
            <w:tr w14:paraId="5D37344F">
              <w:tblPrEx>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CellMar>
                  <w:top w:w="0" w:type="dxa"/>
                  <w:left w:w="108" w:type="dxa"/>
                  <w:bottom w:w="0" w:type="dxa"/>
                  <w:right w:w="108" w:type="dxa"/>
                </w:tblCellMar>
              </w:tblPrEx>
              <w:trPr>
                <w:trHeight w:val="424" w:hRule="atLeast"/>
              </w:trPr>
              <w:tc>
                <w:tcPr>
                  <w:tcW w:w="1147" w:type="dxa"/>
                </w:tcPr>
                <w:p w14:paraId="6F63BD23">
                  <w:pPr>
                    <w:jc w:val="both"/>
                    <w:rPr>
                      <w:lang w:val="sv-SE"/>
                    </w:rPr>
                  </w:pPr>
                  <w:r>
                    <w:rPr>
                      <w:b/>
                      <w:bCs/>
                      <w:szCs w:val="24"/>
                    </w:rPr>
                    <w:t>CPMK / Sub-CPMK</w:t>
                  </w:r>
                </w:p>
              </w:tc>
              <w:tc>
                <w:tcPr>
                  <w:tcW w:w="1116" w:type="dxa"/>
                </w:tcPr>
                <w:p w14:paraId="605BD230">
                  <w:pPr>
                    <w:jc w:val="both"/>
                    <w:rPr>
                      <w:b/>
                    </w:rPr>
                  </w:pPr>
                  <w:r>
                    <w:rPr>
                      <w:b/>
                      <w:bCs/>
                      <w:szCs w:val="24"/>
                    </w:rPr>
                    <w:t>Sub-CPMK1 (Konsep dasar bahaya &amp; risiko psikososial)</w:t>
                  </w:r>
                </w:p>
              </w:tc>
              <w:tc>
                <w:tcPr>
                  <w:tcW w:w="1280" w:type="dxa"/>
                </w:tcPr>
                <w:p w14:paraId="3D9B599F">
                  <w:pPr>
                    <w:jc w:val="both"/>
                    <w:rPr>
                      <w:b/>
                    </w:rPr>
                  </w:pPr>
                  <w:r>
                    <w:rPr>
                      <w:b/>
                      <w:bCs/>
                      <w:szCs w:val="24"/>
                    </w:rPr>
                    <w:t>Sub-CPMK2 (Faktor stres &amp; burnout)</w:t>
                  </w:r>
                </w:p>
              </w:tc>
              <w:tc>
                <w:tcPr>
                  <w:tcW w:w="1280" w:type="dxa"/>
                </w:tcPr>
                <w:p w14:paraId="0BCA0EF8">
                  <w:pPr>
                    <w:jc w:val="both"/>
                    <w:rPr>
                      <w:b/>
                    </w:rPr>
                  </w:pPr>
                  <w:r>
                    <w:rPr>
                      <w:b/>
                      <w:bCs/>
                      <w:szCs w:val="24"/>
                    </w:rPr>
                    <w:t>Sub-CPMK3 (Dampak psikososial)</w:t>
                  </w:r>
                </w:p>
              </w:tc>
              <w:tc>
                <w:tcPr>
                  <w:tcW w:w="1372" w:type="dxa"/>
                </w:tcPr>
                <w:p w14:paraId="61ACEA47">
                  <w:pPr>
                    <w:jc w:val="both"/>
                    <w:rPr>
                      <w:b/>
                    </w:rPr>
                  </w:pPr>
                  <w:r>
                    <w:rPr>
                      <w:b/>
                      <w:bCs/>
                      <w:szCs w:val="24"/>
                    </w:rPr>
                    <w:t>Sub-CPMK4 (Identifikasi risiko)</w:t>
                  </w:r>
                </w:p>
              </w:tc>
              <w:tc>
                <w:tcPr>
                  <w:tcW w:w="1372" w:type="dxa"/>
                </w:tcPr>
                <w:p w14:paraId="41A489BF">
                  <w:pPr>
                    <w:jc w:val="both"/>
                    <w:rPr>
                      <w:b/>
                    </w:rPr>
                  </w:pPr>
                  <w:r>
                    <w:rPr>
                      <w:b/>
                      <w:bCs/>
                      <w:szCs w:val="24"/>
                    </w:rPr>
                    <w:t>Sub-CPMK5 (Strategi pencegahan)</w:t>
                  </w:r>
                </w:p>
              </w:tc>
              <w:tc>
                <w:tcPr>
                  <w:tcW w:w="1372" w:type="dxa"/>
                </w:tcPr>
                <w:p w14:paraId="60454A10">
                  <w:pPr>
                    <w:jc w:val="both"/>
                  </w:pPr>
                  <w:r>
                    <w:rPr>
                      <w:b/>
                      <w:bCs/>
                      <w:szCs w:val="24"/>
                    </w:rPr>
                    <w:t>Sub-CPMK6 (Studi kasus &amp; simulasi)</w:t>
                  </w:r>
                </w:p>
              </w:tc>
              <w:tc>
                <w:tcPr>
                  <w:tcW w:w="1097" w:type="dxa"/>
                </w:tcPr>
                <w:p w14:paraId="279CD58E">
                  <w:pPr>
                    <w:jc w:val="both"/>
                  </w:pPr>
                  <w:r>
                    <w:rPr>
                      <w:b/>
                      <w:bCs/>
                      <w:szCs w:val="24"/>
                    </w:rPr>
                    <w:t>Sub-CPMK7 (Laporan analisis)</w:t>
                  </w:r>
                </w:p>
              </w:tc>
              <w:tc>
                <w:tcPr>
                  <w:tcW w:w="1280" w:type="dxa"/>
                </w:tcPr>
                <w:p w14:paraId="7A3175A7">
                  <w:pPr>
                    <w:jc w:val="both"/>
                  </w:pPr>
                  <w:r>
                    <w:rPr>
                      <w:b/>
                      <w:bCs/>
                      <w:szCs w:val="24"/>
                    </w:rPr>
                    <w:t>Sub-CPMK8 (Presentasi &amp; evaluasi)</w:t>
                  </w:r>
                </w:p>
              </w:tc>
            </w:tr>
            <w:tr w14:paraId="4FBD6864">
              <w:tblPrEx>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CellMar>
                  <w:top w:w="0" w:type="dxa"/>
                  <w:left w:w="108" w:type="dxa"/>
                  <w:bottom w:w="0" w:type="dxa"/>
                  <w:right w:w="108" w:type="dxa"/>
                </w:tblCellMar>
              </w:tblPrEx>
              <w:trPr>
                <w:trHeight w:val="203" w:hRule="atLeast"/>
              </w:trPr>
              <w:tc>
                <w:tcPr>
                  <w:tcW w:w="1147" w:type="dxa"/>
                </w:tcPr>
                <w:p w14:paraId="29DE9524">
                  <w:pPr>
                    <w:jc w:val="both"/>
                    <w:rPr>
                      <w:b/>
                    </w:rPr>
                  </w:pPr>
                  <w:r>
                    <w:rPr>
                      <w:b/>
                      <w:bCs/>
                    </w:rPr>
                    <w:t>CPMK-1</w:t>
                  </w:r>
                  <w:r>
                    <w:t xml:space="preserve"> Menjelaskan konsep dasar bahaya &amp; risiko psikososial</w:t>
                  </w:r>
                </w:p>
              </w:tc>
              <w:tc>
                <w:tcPr>
                  <w:tcW w:w="1116" w:type="dxa"/>
                </w:tcPr>
                <w:p w14:paraId="5B0C42C5">
                  <w:pPr>
                    <w:jc w:val="both"/>
                  </w:pPr>
                  <w:r>
                    <w:rPr>
                      <w:rFonts w:ascii="Segoe UI Symbol" w:hAnsi="Segoe UI Symbol" w:cs="Segoe UI Symbol"/>
                      <w:sz w:val="24"/>
                      <w:szCs w:val="24"/>
                    </w:rPr>
                    <w:t>✔</w:t>
                  </w:r>
                </w:p>
              </w:tc>
              <w:tc>
                <w:tcPr>
                  <w:tcW w:w="1280" w:type="dxa"/>
                </w:tcPr>
                <w:p w14:paraId="006A5E5B">
                  <w:pPr>
                    <w:jc w:val="both"/>
                  </w:pPr>
                </w:p>
              </w:tc>
              <w:tc>
                <w:tcPr>
                  <w:tcW w:w="1280" w:type="dxa"/>
                </w:tcPr>
                <w:p w14:paraId="0BB273EC">
                  <w:pPr>
                    <w:jc w:val="both"/>
                  </w:pPr>
                </w:p>
              </w:tc>
              <w:tc>
                <w:tcPr>
                  <w:tcW w:w="1372" w:type="dxa"/>
                </w:tcPr>
                <w:p w14:paraId="5815D450">
                  <w:pPr>
                    <w:jc w:val="both"/>
                  </w:pPr>
                </w:p>
              </w:tc>
              <w:tc>
                <w:tcPr>
                  <w:tcW w:w="1372" w:type="dxa"/>
                </w:tcPr>
                <w:p w14:paraId="587EF384">
                  <w:pPr>
                    <w:jc w:val="both"/>
                  </w:pPr>
                </w:p>
              </w:tc>
              <w:tc>
                <w:tcPr>
                  <w:tcW w:w="1372" w:type="dxa"/>
                </w:tcPr>
                <w:p w14:paraId="1950E712">
                  <w:pPr>
                    <w:jc w:val="both"/>
                  </w:pPr>
                </w:p>
              </w:tc>
              <w:tc>
                <w:tcPr>
                  <w:tcW w:w="1097" w:type="dxa"/>
                </w:tcPr>
                <w:p w14:paraId="54D06CA6">
                  <w:pPr>
                    <w:jc w:val="both"/>
                  </w:pPr>
                </w:p>
              </w:tc>
              <w:tc>
                <w:tcPr>
                  <w:tcW w:w="1280" w:type="dxa"/>
                </w:tcPr>
                <w:p w14:paraId="586F31EB">
                  <w:pPr>
                    <w:jc w:val="both"/>
                  </w:pPr>
                </w:p>
              </w:tc>
            </w:tr>
            <w:tr w14:paraId="049EFCA6">
              <w:tblPrEx>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CellMar>
                  <w:top w:w="0" w:type="dxa"/>
                  <w:left w:w="108" w:type="dxa"/>
                  <w:bottom w:w="0" w:type="dxa"/>
                  <w:right w:w="108" w:type="dxa"/>
                </w:tblCellMar>
              </w:tblPrEx>
              <w:trPr>
                <w:trHeight w:val="219" w:hRule="atLeast"/>
              </w:trPr>
              <w:tc>
                <w:tcPr>
                  <w:tcW w:w="1147" w:type="dxa"/>
                </w:tcPr>
                <w:p w14:paraId="305AAFC7">
                  <w:pPr>
                    <w:jc w:val="both"/>
                    <w:rPr>
                      <w:b/>
                    </w:rPr>
                  </w:pPr>
                  <w:r>
                    <w:rPr>
                      <w:b/>
                      <w:bCs/>
                    </w:rPr>
                    <w:t>CPMK-2</w:t>
                  </w:r>
                  <w:r>
                    <w:t xml:space="preserve"> Menganalisis faktor penyebab stres kerja &amp; burnout</w:t>
                  </w:r>
                </w:p>
              </w:tc>
              <w:tc>
                <w:tcPr>
                  <w:tcW w:w="1116" w:type="dxa"/>
                </w:tcPr>
                <w:p w14:paraId="22162AE7">
                  <w:pPr>
                    <w:jc w:val="both"/>
                  </w:pPr>
                </w:p>
              </w:tc>
              <w:tc>
                <w:tcPr>
                  <w:tcW w:w="1280" w:type="dxa"/>
                </w:tcPr>
                <w:p w14:paraId="4778AFF1">
                  <w:pPr>
                    <w:jc w:val="both"/>
                  </w:pPr>
                  <w:r>
                    <w:rPr>
                      <w:rFonts w:ascii="Segoe UI Symbol" w:hAnsi="Segoe UI Symbol" w:cs="Segoe UI Symbol"/>
                      <w:sz w:val="24"/>
                      <w:szCs w:val="24"/>
                    </w:rPr>
                    <w:t>✔</w:t>
                  </w:r>
                </w:p>
              </w:tc>
              <w:tc>
                <w:tcPr>
                  <w:tcW w:w="1280" w:type="dxa"/>
                </w:tcPr>
                <w:p w14:paraId="7C028A16">
                  <w:pPr>
                    <w:jc w:val="both"/>
                  </w:pPr>
                  <w:r>
                    <w:rPr>
                      <w:rFonts w:ascii="Segoe UI Symbol" w:hAnsi="Segoe UI Symbol" w:cs="Segoe UI Symbol"/>
                      <w:sz w:val="24"/>
                      <w:szCs w:val="24"/>
                    </w:rPr>
                    <w:t>✔</w:t>
                  </w:r>
                </w:p>
              </w:tc>
              <w:tc>
                <w:tcPr>
                  <w:tcW w:w="1372" w:type="dxa"/>
                </w:tcPr>
                <w:p w14:paraId="08787085">
                  <w:pPr>
                    <w:jc w:val="both"/>
                  </w:pPr>
                </w:p>
              </w:tc>
              <w:tc>
                <w:tcPr>
                  <w:tcW w:w="1372" w:type="dxa"/>
                </w:tcPr>
                <w:p w14:paraId="0F8161FB">
                  <w:pPr>
                    <w:jc w:val="both"/>
                  </w:pPr>
                </w:p>
              </w:tc>
              <w:tc>
                <w:tcPr>
                  <w:tcW w:w="1372" w:type="dxa"/>
                </w:tcPr>
                <w:p w14:paraId="71988E7B">
                  <w:pPr>
                    <w:jc w:val="both"/>
                  </w:pPr>
                </w:p>
              </w:tc>
              <w:tc>
                <w:tcPr>
                  <w:tcW w:w="1097" w:type="dxa"/>
                </w:tcPr>
                <w:p w14:paraId="1F4D5DE3">
                  <w:pPr>
                    <w:jc w:val="both"/>
                  </w:pPr>
                </w:p>
              </w:tc>
              <w:tc>
                <w:tcPr>
                  <w:tcW w:w="1280" w:type="dxa"/>
                </w:tcPr>
                <w:p w14:paraId="34A262BF">
                  <w:pPr>
                    <w:jc w:val="both"/>
                  </w:pPr>
                </w:p>
              </w:tc>
            </w:tr>
            <w:tr w14:paraId="053C4E5A">
              <w:tblPrEx>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CellMar>
                  <w:top w:w="0" w:type="dxa"/>
                  <w:left w:w="108" w:type="dxa"/>
                  <w:bottom w:w="0" w:type="dxa"/>
                  <w:right w:w="108" w:type="dxa"/>
                </w:tblCellMar>
              </w:tblPrEx>
              <w:trPr>
                <w:trHeight w:val="203" w:hRule="atLeast"/>
              </w:trPr>
              <w:tc>
                <w:tcPr>
                  <w:tcW w:w="1147" w:type="dxa"/>
                </w:tcPr>
                <w:p w14:paraId="624F1870">
                  <w:pPr>
                    <w:jc w:val="both"/>
                    <w:rPr>
                      <w:b/>
                    </w:rPr>
                  </w:pPr>
                  <w:r>
                    <w:rPr>
                      <w:b/>
                      <w:bCs/>
                    </w:rPr>
                    <w:t>CPMK-3</w:t>
                  </w:r>
                  <w:r>
                    <w:t xml:space="preserve"> Melakukan identifikasi &amp; penilaian risiko psikososial</w:t>
                  </w:r>
                </w:p>
              </w:tc>
              <w:tc>
                <w:tcPr>
                  <w:tcW w:w="1116" w:type="dxa"/>
                </w:tcPr>
                <w:p w14:paraId="0F695A01">
                  <w:pPr>
                    <w:jc w:val="both"/>
                  </w:pPr>
                </w:p>
              </w:tc>
              <w:tc>
                <w:tcPr>
                  <w:tcW w:w="1280" w:type="dxa"/>
                </w:tcPr>
                <w:p w14:paraId="57AE9F9E">
                  <w:pPr>
                    <w:jc w:val="both"/>
                  </w:pPr>
                </w:p>
              </w:tc>
              <w:tc>
                <w:tcPr>
                  <w:tcW w:w="1280" w:type="dxa"/>
                </w:tcPr>
                <w:p w14:paraId="612E66A2">
                  <w:pPr>
                    <w:jc w:val="both"/>
                  </w:pPr>
                </w:p>
              </w:tc>
              <w:tc>
                <w:tcPr>
                  <w:tcW w:w="1372" w:type="dxa"/>
                </w:tcPr>
                <w:p w14:paraId="4C2446D1">
                  <w:pPr>
                    <w:jc w:val="both"/>
                  </w:pPr>
                  <w:r>
                    <w:rPr>
                      <w:rFonts w:ascii="Segoe UI Symbol" w:hAnsi="Segoe UI Symbol" w:cs="Segoe UI Symbol"/>
                      <w:sz w:val="24"/>
                      <w:szCs w:val="24"/>
                    </w:rPr>
                    <w:t>✔</w:t>
                  </w:r>
                </w:p>
              </w:tc>
              <w:tc>
                <w:tcPr>
                  <w:tcW w:w="1372" w:type="dxa"/>
                </w:tcPr>
                <w:p w14:paraId="26BDA455">
                  <w:pPr>
                    <w:jc w:val="both"/>
                  </w:pPr>
                </w:p>
              </w:tc>
              <w:tc>
                <w:tcPr>
                  <w:tcW w:w="1372" w:type="dxa"/>
                </w:tcPr>
                <w:p w14:paraId="545613A4">
                  <w:pPr>
                    <w:jc w:val="both"/>
                  </w:pPr>
                </w:p>
              </w:tc>
              <w:tc>
                <w:tcPr>
                  <w:tcW w:w="1097" w:type="dxa"/>
                </w:tcPr>
                <w:p w14:paraId="02D0C027">
                  <w:pPr>
                    <w:jc w:val="both"/>
                  </w:pPr>
                </w:p>
              </w:tc>
              <w:tc>
                <w:tcPr>
                  <w:tcW w:w="1280" w:type="dxa"/>
                </w:tcPr>
                <w:p w14:paraId="727A2652">
                  <w:pPr>
                    <w:jc w:val="both"/>
                  </w:pPr>
                </w:p>
              </w:tc>
            </w:tr>
            <w:tr w14:paraId="39046E18">
              <w:tblPrEx>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CellMar>
                  <w:top w:w="0" w:type="dxa"/>
                  <w:left w:w="108" w:type="dxa"/>
                  <w:bottom w:w="0" w:type="dxa"/>
                  <w:right w:w="108" w:type="dxa"/>
                </w:tblCellMar>
              </w:tblPrEx>
              <w:trPr>
                <w:trHeight w:val="203" w:hRule="atLeast"/>
              </w:trPr>
              <w:tc>
                <w:tcPr>
                  <w:tcW w:w="1147" w:type="dxa"/>
                </w:tcPr>
                <w:p w14:paraId="75968904">
                  <w:pPr>
                    <w:jc w:val="both"/>
                  </w:pPr>
                  <w:r>
                    <w:rPr>
                      <w:b/>
                      <w:bCs/>
                    </w:rPr>
                    <w:t>CPMK-4</w:t>
                  </w:r>
                  <w:r>
                    <w:t xml:space="preserve"> Merancang strategi pengendalian &amp; intervensi</w:t>
                  </w:r>
                </w:p>
              </w:tc>
              <w:tc>
                <w:tcPr>
                  <w:tcW w:w="1116" w:type="dxa"/>
                </w:tcPr>
                <w:p w14:paraId="2B1352BE">
                  <w:pPr>
                    <w:jc w:val="both"/>
                  </w:pPr>
                </w:p>
              </w:tc>
              <w:tc>
                <w:tcPr>
                  <w:tcW w:w="1280" w:type="dxa"/>
                </w:tcPr>
                <w:p w14:paraId="1F5A1945">
                  <w:pPr>
                    <w:jc w:val="both"/>
                  </w:pPr>
                </w:p>
              </w:tc>
              <w:tc>
                <w:tcPr>
                  <w:tcW w:w="1280" w:type="dxa"/>
                </w:tcPr>
                <w:p w14:paraId="5E88222A">
                  <w:pPr>
                    <w:jc w:val="both"/>
                  </w:pPr>
                </w:p>
              </w:tc>
              <w:tc>
                <w:tcPr>
                  <w:tcW w:w="1372" w:type="dxa"/>
                </w:tcPr>
                <w:p w14:paraId="279384A5">
                  <w:pPr>
                    <w:jc w:val="both"/>
                  </w:pPr>
                </w:p>
              </w:tc>
              <w:tc>
                <w:tcPr>
                  <w:tcW w:w="1372" w:type="dxa"/>
                </w:tcPr>
                <w:p w14:paraId="61546A2F">
                  <w:pPr>
                    <w:jc w:val="both"/>
                  </w:pPr>
                  <w:r>
                    <w:rPr>
                      <w:rFonts w:ascii="Segoe UI Symbol" w:hAnsi="Segoe UI Symbol" w:cs="Segoe UI Symbol"/>
                      <w:sz w:val="24"/>
                      <w:szCs w:val="24"/>
                    </w:rPr>
                    <w:t>✔</w:t>
                  </w:r>
                </w:p>
              </w:tc>
              <w:tc>
                <w:tcPr>
                  <w:tcW w:w="1372" w:type="dxa"/>
                </w:tcPr>
                <w:p w14:paraId="7E7A6869">
                  <w:pPr>
                    <w:jc w:val="both"/>
                  </w:pPr>
                  <w:r>
                    <w:rPr>
                      <w:rFonts w:ascii="Segoe UI Symbol" w:hAnsi="Segoe UI Symbol" w:cs="Segoe UI Symbol"/>
                      <w:sz w:val="24"/>
                      <w:szCs w:val="24"/>
                    </w:rPr>
                    <w:t>✔</w:t>
                  </w:r>
                </w:p>
              </w:tc>
              <w:tc>
                <w:tcPr>
                  <w:tcW w:w="1097" w:type="dxa"/>
                </w:tcPr>
                <w:p w14:paraId="4489D1DC">
                  <w:pPr>
                    <w:jc w:val="both"/>
                  </w:pPr>
                  <w:r>
                    <w:rPr>
                      <w:rFonts w:ascii="Segoe UI Symbol" w:hAnsi="Segoe UI Symbol" w:cs="Segoe UI Symbol"/>
                      <w:sz w:val="24"/>
                      <w:szCs w:val="24"/>
                    </w:rPr>
                    <w:t>✔</w:t>
                  </w:r>
                </w:p>
              </w:tc>
              <w:tc>
                <w:tcPr>
                  <w:tcW w:w="1280" w:type="dxa"/>
                </w:tcPr>
                <w:p w14:paraId="1C9EAEED">
                  <w:pPr>
                    <w:jc w:val="both"/>
                  </w:pPr>
                </w:p>
              </w:tc>
            </w:tr>
            <w:tr w14:paraId="103F01CE">
              <w:tblPrEx>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CellMar>
                  <w:top w:w="0" w:type="dxa"/>
                  <w:left w:w="108" w:type="dxa"/>
                  <w:bottom w:w="0" w:type="dxa"/>
                  <w:right w:w="108" w:type="dxa"/>
                </w:tblCellMar>
              </w:tblPrEx>
              <w:trPr>
                <w:trHeight w:val="203" w:hRule="atLeast"/>
              </w:trPr>
              <w:tc>
                <w:tcPr>
                  <w:tcW w:w="1147" w:type="dxa"/>
                </w:tcPr>
                <w:p w14:paraId="73B6957C">
                  <w:pPr>
                    <w:jc w:val="both"/>
                    <w:rPr>
                      <w:b/>
                      <w:bCs/>
                    </w:rPr>
                  </w:pPr>
                  <w:r>
                    <w:rPr>
                      <w:b/>
                      <w:bCs/>
                    </w:rPr>
                    <w:t>CPMK-5</w:t>
                  </w:r>
                  <w:r>
                    <w:t xml:space="preserve"> Berkomunikasi, berdiskusi, &amp; bekerja sama dalam kelompok</w:t>
                  </w:r>
                </w:p>
              </w:tc>
              <w:tc>
                <w:tcPr>
                  <w:tcW w:w="1116" w:type="dxa"/>
                </w:tcPr>
                <w:p w14:paraId="3E91A8C3">
                  <w:pPr>
                    <w:jc w:val="both"/>
                  </w:pPr>
                </w:p>
              </w:tc>
              <w:tc>
                <w:tcPr>
                  <w:tcW w:w="1280" w:type="dxa"/>
                </w:tcPr>
                <w:p w14:paraId="75041E46">
                  <w:pPr>
                    <w:jc w:val="both"/>
                  </w:pPr>
                </w:p>
              </w:tc>
              <w:tc>
                <w:tcPr>
                  <w:tcW w:w="1280" w:type="dxa"/>
                </w:tcPr>
                <w:p w14:paraId="3A0A50AD">
                  <w:pPr>
                    <w:jc w:val="both"/>
                  </w:pPr>
                </w:p>
              </w:tc>
              <w:tc>
                <w:tcPr>
                  <w:tcW w:w="1372" w:type="dxa"/>
                </w:tcPr>
                <w:p w14:paraId="38C5D065">
                  <w:pPr>
                    <w:jc w:val="both"/>
                  </w:pPr>
                </w:p>
              </w:tc>
              <w:tc>
                <w:tcPr>
                  <w:tcW w:w="1372" w:type="dxa"/>
                </w:tcPr>
                <w:p w14:paraId="17D87A7A">
                  <w:pPr>
                    <w:jc w:val="both"/>
                  </w:pPr>
                </w:p>
              </w:tc>
              <w:tc>
                <w:tcPr>
                  <w:tcW w:w="1372" w:type="dxa"/>
                </w:tcPr>
                <w:p w14:paraId="66DF4E3E">
                  <w:pPr>
                    <w:jc w:val="both"/>
                  </w:pPr>
                  <w:r>
                    <w:rPr>
                      <w:rFonts w:ascii="Segoe UI Symbol" w:hAnsi="Segoe UI Symbol" w:cs="Segoe UI Symbol"/>
                      <w:sz w:val="24"/>
                      <w:szCs w:val="24"/>
                    </w:rPr>
                    <w:t>✔</w:t>
                  </w:r>
                </w:p>
              </w:tc>
              <w:tc>
                <w:tcPr>
                  <w:tcW w:w="1097" w:type="dxa"/>
                </w:tcPr>
                <w:p w14:paraId="1FC99C02">
                  <w:pPr>
                    <w:jc w:val="both"/>
                  </w:pPr>
                  <w:r>
                    <w:rPr>
                      <w:rFonts w:ascii="Segoe UI Symbol" w:hAnsi="Segoe UI Symbol" w:cs="Segoe UI Symbol"/>
                      <w:sz w:val="24"/>
                      <w:szCs w:val="24"/>
                    </w:rPr>
                    <w:t>✔</w:t>
                  </w:r>
                </w:p>
              </w:tc>
              <w:tc>
                <w:tcPr>
                  <w:tcW w:w="1280" w:type="dxa"/>
                </w:tcPr>
                <w:p w14:paraId="1472B965">
                  <w:pPr>
                    <w:jc w:val="both"/>
                  </w:pPr>
                  <w:r>
                    <w:rPr>
                      <w:rFonts w:ascii="Segoe UI Symbol" w:hAnsi="Segoe UI Symbol" w:cs="Segoe UI Symbol"/>
                      <w:sz w:val="24"/>
                      <w:szCs w:val="24"/>
                    </w:rPr>
                    <w:t>✔</w:t>
                  </w:r>
                </w:p>
              </w:tc>
            </w:tr>
          </w:tbl>
          <w:p w14:paraId="7A00628F">
            <w:pPr>
              <w:jc w:val="both"/>
              <w:rPr>
                <w:rFonts w:eastAsia="Calibri"/>
              </w:rPr>
            </w:pPr>
          </w:p>
        </w:tc>
      </w:tr>
      <w:tr w14:paraId="70679A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 w:hRule="atLeast"/>
        </w:trPr>
        <w:tc>
          <w:tcPr>
            <w:tcW w:w="1365" w:type="dxa"/>
            <w:gridSpan w:val="2"/>
          </w:tcPr>
          <w:p w14:paraId="4508210C">
            <w:pPr>
              <w:rPr>
                <w:rFonts w:eastAsia="Calibri"/>
                <w:b/>
              </w:rPr>
            </w:pPr>
            <w:r>
              <w:rPr>
                <w:rFonts w:eastAsia="Calibri"/>
                <w:b/>
              </w:rPr>
              <w:t>Deskripsi Singkat MK</w:t>
            </w:r>
          </w:p>
        </w:tc>
        <w:tc>
          <w:tcPr>
            <w:tcW w:w="11541" w:type="dxa"/>
            <w:gridSpan w:val="14"/>
          </w:tcPr>
          <w:p w14:paraId="63E8ADFC">
            <w:r>
              <w:t>Mata kuliah ini membahas konsep dasar, faktor penyebab, dampak, serta strategi pengendalian bahaya dan risiko psikososial di tempat kerja. Mahasiswa dibekali kemampuan analisis, identifikasi, dan intervensi risiko psikososial dengan pendekatan ilmiah, serta pengembangan keterampilan komunikasi dan kerja sama dalam tim multidisiplin.</w:t>
            </w:r>
          </w:p>
        </w:tc>
      </w:tr>
      <w:tr w14:paraId="4D471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 w:hRule="atLeast"/>
        </w:trPr>
        <w:tc>
          <w:tcPr>
            <w:tcW w:w="1365" w:type="dxa"/>
            <w:gridSpan w:val="2"/>
          </w:tcPr>
          <w:p w14:paraId="51A1E72C">
            <w:pPr>
              <w:rPr>
                <w:rFonts w:eastAsia="Calibri"/>
                <w:b/>
              </w:rPr>
            </w:pPr>
            <w:r>
              <w:rPr>
                <w:rFonts w:eastAsia="Calibri"/>
                <w:b/>
              </w:rPr>
              <w:t>Bahan Kajian: Materi Pembelajaran</w:t>
            </w:r>
          </w:p>
        </w:tc>
        <w:tc>
          <w:tcPr>
            <w:tcW w:w="11541" w:type="dxa"/>
            <w:gridSpan w:val="14"/>
          </w:tcPr>
          <w:p w14:paraId="7D132D1D">
            <w:pPr>
              <w:pStyle w:val="14"/>
              <w:numPr>
                <w:ilvl w:val="0"/>
                <w:numId w:val="1"/>
              </w:numPr>
              <w:rPr>
                <w:rFonts w:ascii="Times New Roman" w:hAnsi="Times New Roman" w:cs="Times New Roman"/>
                <w:sz w:val="20"/>
                <w:szCs w:val="20"/>
              </w:rPr>
            </w:pPr>
            <w:r>
              <w:rPr>
                <w:rFonts w:ascii="Times New Roman" w:hAnsi="Times New Roman" w:cs="Times New Roman"/>
                <w:sz w:val="20"/>
                <w:szCs w:val="20"/>
              </w:rPr>
              <w:t>Konsep bahaya dan risiko psikososial di tempat kerja.</w:t>
            </w:r>
          </w:p>
          <w:p w14:paraId="1EE156DC">
            <w:pPr>
              <w:pStyle w:val="14"/>
              <w:numPr>
                <w:ilvl w:val="0"/>
                <w:numId w:val="1"/>
              </w:numPr>
              <w:rPr>
                <w:rFonts w:ascii="Times New Roman" w:hAnsi="Times New Roman" w:cs="Times New Roman"/>
                <w:sz w:val="20"/>
                <w:szCs w:val="20"/>
              </w:rPr>
            </w:pPr>
            <w:r>
              <w:rPr>
                <w:rFonts w:ascii="Times New Roman" w:hAnsi="Times New Roman" w:cs="Times New Roman"/>
                <w:sz w:val="20"/>
                <w:szCs w:val="20"/>
              </w:rPr>
              <w:t>Faktor penyebab: stres kerja, burnout, konflik peran, beban kerja berlebih, dukungan sosial rendah.</w:t>
            </w:r>
          </w:p>
          <w:p w14:paraId="5E2F28A0">
            <w:pPr>
              <w:pStyle w:val="14"/>
              <w:numPr>
                <w:ilvl w:val="0"/>
                <w:numId w:val="1"/>
              </w:numPr>
              <w:rPr>
                <w:rFonts w:ascii="Times New Roman" w:hAnsi="Times New Roman" w:cs="Times New Roman"/>
                <w:sz w:val="20"/>
                <w:szCs w:val="20"/>
              </w:rPr>
            </w:pPr>
            <w:r>
              <w:rPr>
                <w:rFonts w:ascii="Times New Roman" w:hAnsi="Times New Roman" w:cs="Times New Roman"/>
                <w:sz w:val="20"/>
                <w:szCs w:val="20"/>
              </w:rPr>
              <w:t>Dampak psikososial: kesehatan mental, produktivitas, turnover.</w:t>
            </w:r>
          </w:p>
          <w:p w14:paraId="0855D299">
            <w:pPr>
              <w:pStyle w:val="14"/>
              <w:numPr>
                <w:ilvl w:val="0"/>
                <w:numId w:val="1"/>
              </w:numPr>
              <w:rPr>
                <w:rFonts w:ascii="Times New Roman" w:hAnsi="Times New Roman" w:cs="Times New Roman"/>
                <w:sz w:val="20"/>
                <w:szCs w:val="20"/>
              </w:rPr>
            </w:pPr>
            <w:r>
              <w:rPr>
                <w:rFonts w:ascii="Times New Roman" w:hAnsi="Times New Roman" w:cs="Times New Roman"/>
                <w:sz w:val="20"/>
                <w:szCs w:val="20"/>
              </w:rPr>
              <w:t>Metode identifikasi risiko psikososial (kuesioner, observasi, wawancara).</w:t>
            </w:r>
          </w:p>
          <w:p w14:paraId="50055CCC">
            <w:pPr>
              <w:pStyle w:val="14"/>
              <w:numPr>
                <w:ilvl w:val="0"/>
                <w:numId w:val="1"/>
              </w:numPr>
              <w:rPr>
                <w:rFonts w:ascii="Times New Roman" w:hAnsi="Times New Roman" w:cs="Times New Roman"/>
                <w:sz w:val="20"/>
                <w:szCs w:val="20"/>
              </w:rPr>
            </w:pPr>
            <w:r>
              <w:rPr>
                <w:rFonts w:ascii="Times New Roman" w:hAnsi="Times New Roman" w:cs="Times New Roman"/>
                <w:sz w:val="20"/>
                <w:szCs w:val="20"/>
              </w:rPr>
              <w:t>Penilaian risiko: model teoretis (JD-R Model, Effort-Reward Imbalance, PE Fit).</w:t>
            </w:r>
          </w:p>
          <w:p w14:paraId="22EBA293">
            <w:pPr>
              <w:pStyle w:val="14"/>
              <w:numPr>
                <w:ilvl w:val="0"/>
                <w:numId w:val="1"/>
              </w:numPr>
              <w:rPr>
                <w:rFonts w:ascii="Times New Roman" w:hAnsi="Times New Roman" w:cs="Times New Roman"/>
                <w:sz w:val="20"/>
                <w:szCs w:val="20"/>
              </w:rPr>
            </w:pPr>
            <w:r>
              <w:rPr>
                <w:rFonts w:ascii="Times New Roman" w:hAnsi="Times New Roman" w:cs="Times New Roman"/>
                <w:sz w:val="20"/>
                <w:szCs w:val="20"/>
              </w:rPr>
              <w:t>Strategi intervensi: promosi kesehatan mental, manajemen stres, peningkatan dukungan sosial.</w:t>
            </w:r>
          </w:p>
          <w:p w14:paraId="7C3D3294">
            <w:pPr>
              <w:pStyle w:val="14"/>
              <w:numPr>
                <w:ilvl w:val="0"/>
                <w:numId w:val="1"/>
              </w:numPr>
              <w:rPr>
                <w:rFonts w:ascii="Times New Roman" w:hAnsi="Times New Roman" w:cs="Times New Roman"/>
                <w:sz w:val="20"/>
                <w:szCs w:val="20"/>
              </w:rPr>
            </w:pPr>
            <w:r>
              <w:rPr>
                <w:rFonts w:ascii="Times New Roman" w:hAnsi="Times New Roman" w:cs="Times New Roman"/>
                <w:sz w:val="20"/>
                <w:szCs w:val="20"/>
              </w:rPr>
              <w:t>Kebijakan, regulasi, dan standar nasional maupun internasional terkait risiko psikososial.</w:t>
            </w:r>
          </w:p>
          <w:p w14:paraId="4B2E60DF">
            <w:pPr>
              <w:pStyle w:val="14"/>
              <w:numPr>
                <w:ilvl w:val="0"/>
                <w:numId w:val="1"/>
              </w:numPr>
              <w:rPr>
                <w:rFonts w:ascii="Times New Roman" w:hAnsi="Times New Roman" w:cs="Times New Roman"/>
                <w:sz w:val="20"/>
                <w:szCs w:val="20"/>
              </w:rPr>
            </w:pPr>
            <w:r>
              <w:rPr>
                <w:rFonts w:ascii="Times New Roman" w:hAnsi="Times New Roman" w:cs="Times New Roman"/>
                <w:sz w:val="20"/>
                <w:szCs w:val="20"/>
              </w:rPr>
              <w:t>Studi kasus dan simulasi intervensi psikososial di tempat kerja.</w:t>
            </w:r>
          </w:p>
        </w:tc>
      </w:tr>
      <w:tr w14:paraId="736EF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restart"/>
          </w:tcPr>
          <w:p w14:paraId="3B0A8BA3">
            <w:pPr>
              <w:rPr>
                <w:rFonts w:eastAsia="Calibri"/>
                <w:b/>
              </w:rPr>
            </w:pPr>
            <w:r>
              <w:rPr>
                <w:rFonts w:eastAsia="Calibri"/>
                <w:b/>
              </w:rPr>
              <w:t>Pustaka</w:t>
            </w:r>
          </w:p>
        </w:tc>
        <w:tc>
          <w:tcPr>
            <w:tcW w:w="2558" w:type="dxa"/>
            <w:gridSpan w:val="2"/>
            <w:tcBorders>
              <w:bottom w:val="single" w:color="000000" w:sz="8" w:space="0"/>
            </w:tcBorders>
            <w:shd w:val="clear" w:color="auto" w:fill="E7E6E6"/>
          </w:tcPr>
          <w:p w14:paraId="1E9BCEAC">
            <w:pPr>
              <w:ind w:left="26"/>
              <w:rPr>
                <w:rFonts w:eastAsia="Calibri"/>
                <w:b/>
              </w:rPr>
            </w:pPr>
            <w:r>
              <w:rPr>
                <w:rFonts w:eastAsia="Calibri"/>
                <w:b/>
              </w:rPr>
              <w:t>Utama:</w:t>
            </w:r>
          </w:p>
        </w:tc>
        <w:tc>
          <w:tcPr>
            <w:tcW w:w="8983" w:type="dxa"/>
            <w:gridSpan w:val="12"/>
            <w:tcBorders>
              <w:bottom w:val="single" w:color="000000" w:sz="4" w:space="0"/>
            </w:tcBorders>
          </w:tcPr>
          <w:p w14:paraId="5A5469E2">
            <w:pPr>
              <w:ind w:left="26"/>
              <w:rPr>
                <w:rFonts w:eastAsia="Calibri"/>
                <w:b/>
              </w:rPr>
            </w:pPr>
          </w:p>
        </w:tc>
      </w:tr>
      <w:tr w14:paraId="4A7B86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continue"/>
          </w:tcPr>
          <w:p w14:paraId="02C51132">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b/>
              </w:rPr>
            </w:pPr>
          </w:p>
        </w:tc>
        <w:tc>
          <w:tcPr>
            <w:tcW w:w="11541" w:type="dxa"/>
            <w:gridSpan w:val="14"/>
          </w:tcPr>
          <w:p w14:paraId="6100CDA2">
            <w:pPr>
              <w:pStyle w:val="31"/>
              <w:numPr>
                <w:ilvl w:val="0"/>
                <w:numId w:val="2"/>
              </w:numPr>
              <w:ind w:left="338" w:hanging="338"/>
              <w:rPr>
                <w:rFonts w:eastAsia="Calibri"/>
                <w:color w:val="000000"/>
                <w:lang w:val="sv-SE"/>
              </w:rPr>
            </w:pPr>
            <w:r>
              <w:t>WHO (2020). Mental health at work.</w:t>
            </w:r>
          </w:p>
          <w:p w14:paraId="300286FA">
            <w:pPr>
              <w:pStyle w:val="31"/>
              <w:numPr>
                <w:ilvl w:val="0"/>
                <w:numId w:val="2"/>
              </w:numPr>
              <w:ind w:left="338" w:hanging="338"/>
              <w:rPr>
                <w:rFonts w:eastAsia="Calibri"/>
                <w:color w:val="000000"/>
                <w:lang w:val="sv-SE"/>
              </w:rPr>
            </w:pPr>
            <w:r>
              <w:t>Siegrist, J. (1996). Effort–Reward Imbalance Model.</w:t>
            </w:r>
          </w:p>
          <w:p w14:paraId="70BBDC16">
            <w:pPr>
              <w:pStyle w:val="31"/>
              <w:numPr>
                <w:ilvl w:val="0"/>
                <w:numId w:val="2"/>
              </w:numPr>
              <w:ind w:left="338" w:hanging="338"/>
              <w:rPr>
                <w:rFonts w:eastAsia="Calibri"/>
                <w:color w:val="000000"/>
                <w:lang w:val="sv-SE"/>
              </w:rPr>
            </w:pPr>
            <w:r>
              <w:t>Karasek, R. (1979). Job Demand–Control Model.</w:t>
            </w:r>
          </w:p>
          <w:p w14:paraId="5D3161A3">
            <w:pPr>
              <w:pStyle w:val="31"/>
              <w:numPr>
                <w:ilvl w:val="0"/>
                <w:numId w:val="2"/>
              </w:numPr>
              <w:ind w:left="338" w:hanging="338"/>
              <w:rPr>
                <w:rFonts w:eastAsia="Calibri"/>
                <w:color w:val="000000"/>
                <w:lang w:val="sv-SE"/>
              </w:rPr>
            </w:pPr>
            <w:r>
              <w:t>Schaufeli, W.B., &amp; Bakker, A.B. (2004). Job Demands–Resources Model.</w:t>
            </w:r>
          </w:p>
        </w:tc>
      </w:tr>
      <w:tr w14:paraId="218A8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vMerge w:val="continue"/>
          </w:tcPr>
          <w:p w14:paraId="7FD39244">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color w:val="000000"/>
                <w:lang w:val="sv-SE"/>
              </w:rPr>
            </w:pPr>
          </w:p>
        </w:tc>
        <w:tc>
          <w:tcPr>
            <w:tcW w:w="2558" w:type="dxa"/>
            <w:gridSpan w:val="2"/>
            <w:tcBorders>
              <w:top w:val="single" w:color="000000" w:sz="8" w:space="0"/>
            </w:tcBorders>
            <w:shd w:val="clear" w:color="auto" w:fill="E7E6E6"/>
          </w:tcPr>
          <w:p w14:paraId="729F3535">
            <w:pPr>
              <w:rPr>
                <w:rFonts w:eastAsia="Calibri"/>
              </w:rPr>
            </w:pPr>
            <w:r>
              <w:rPr>
                <w:rFonts w:eastAsia="Calibri"/>
                <w:b/>
                <w:color w:val="000000"/>
              </w:rPr>
              <w:t>Pendukung:</w:t>
            </w:r>
          </w:p>
        </w:tc>
        <w:tc>
          <w:tcPr>
            <w:tcW w:w="8983" w:type="dxa"/>
            <w:gridSpan w:val="12"/>
            <w:tcBorders>
              <w:top w:val="single" w:color="FFFFFF" w:sz="8" w:space="0"/>
            </w:tcBorders>
          </w:tcPr>
          <w:p w14:paraId="60C931DB">
            <w:pPr>
              <w:rPr>
                <w:rFonts w:eastAsia="Calibri"/>
              </w:rPr>
            </w:pPr>
          </w:p>
        </w:tc>
      </w:tr>
      <w:tr w14:paraId="67492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1365" w:type="dxa"/>
            <w:gridSpan w:val="2"/>
            <w:vMerge w:val="continue"/>
          </w:tcPr>
          <w:p w14:paraId="5A281C7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rPr>
            </w:pPr>
          </w:p>
        </w:tc>
        <w:tc>
          <w:tcPr>
            <w:tcW w:w="11541" w:type="dxa"/>
            <w:gridSpan w:val="14"/>
          </w:tcPr>
          <w:p w14:paraId="314AF653">
            <w:pPr>
              <w:pStyle w:val="31"/>
              <w:numPr>
                <w:ilvl w:val="0"/>
                <w:numId w:val="3"/>
              </w:numPr>
              <w:tabs>
                <w:tab w:val="left" w:pos="0"/>
              </w:tabs>
              <w:ind w:left="338" w:hanging="338"/>
              <w:rPr>
                <w:rFonts w:eastAsia="Calibri"/>
                <w:lang w:val="sv-SE"/>
              </w:rPr>
            </w:pPr>
            <w:r>
              <w:t>Cox, T., &amp; Griffiths, A. (2005). The nature and measurement of work-related stress.</w:t>
            </w:r>
          </w:p>
          <w:p w14:paraId="4FD98827">
            <w:pPr>
              <w:pStyle w:val="31"/>
              <w:numPr>
                <w:ilvl w:val="0"/>
                <w:numId w:val="3"/>
              </w:numPr>
              <w:tabs>
                <w:tab w:val="left" w:pos="0"/>
              </w:tabs>
              <w:ind w:left="338" w:hanging="338"/>
              <w:rPr>
                <w:rFonts w:eastAsia="Calibri"/>
                <w:lang w:val="sv-SE"/>
              </w:rPr>
            </w:pPr>
            <w:r>
              <w:t>Quick, J.C., &amp; Tetrick, L.E. (2011). Handbook of Occupational Health Psychology.</w:t>
            </w:r>
          </w:p>
        </w:tc>
      </w:tr>
      <w:tr w14:paraId="7B1AC4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tcPr>
          <w:p w14:paraId="7CA2576F">
            <w:pPr>
              <w:rPr>
                <w:rFonts w:eastAsia="Calibri"/>
                <w:b/>
              </w:rPr>
            </w:pPr>
            <w:r>
              <w:rPr>
                <w:rFonts w:eastAsia="Calibri"/>
                <w:b/>
              </w:rPr>
              <w:t>Dosen Pengampu</w:t>
            </w:r>
          </w:p>
        </w:tc>
        <w:tc>
          <w:tcPr>
            <w:tcW w:w="11541" w:type="dxa"/>
            <w:gridSpan w:val="14"/>
          </w:tcPr>
          <w:p w14:paraId="3943DC1E">
            <w:r>
              <w:t>Olivia Maharani Mohamad, S.Kep., M.K.M</w:t>
            </w:r>
          </w:p>
          <w:p w14:paraId="7B014757">
            <w:pPr>
              <w:rPr>
                <w:rFonts w:eastAsia="Calibri"/>
                <w:lang w:val="sv-SE"/>
              </w:rPr>
            </w:pPr>
            <w:r>
              <w:rPr>
                <w:rFonts w:eastAsia="Calibri"/>
                <w:bCs/>
              </w:rPr>
              <w:t>Nurhamida, S.KM., M.K.M</w:t>
            </w:r>
          </w:p>
        </w:tc>
      </w:tr>
      <w:tr w14:paraId="01A8F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65" w:type="dxa"/>
            <w:gridSpan w:val="2"/>
          </w:tcPr>
          <w:p w14:paraId="4D01765D">
            <w:pPr>
              <w:rPr>
                <w:rFonts w:eastAsia="Calibri"/>
                <w:b/>
              </w:rPr>
            </w:pPr>
            <w:r>
              <w:rPr>
                <w:rFonts w:eastAsia="Calibri"/>
                <w:b/>
              </w:rPr>
              <w:t>Modalitas dan Matakuliah prasyarat</w:t>
            </w:r>
          </w:p>
        </w:tc>
        <w:tc>
          <w:tcPr>
            <w:tcW w:w="11541" w:type="dxa"/>
            <w:gridSpan w:val="14"/>
          </w:tcPr>
          <w:p w14:paraId="7868A03D">
            <w:r>
              <w:t>Modalitas: Tatap muka, diskusi kelompok, studi kasus, simulasi.</w:t>
            </w:r>
            <w:r>
              <w:br w:type="textWrapping"/>
            </w:r>
            <w:r>
              <w:t>Prasyarat: Tidak ada.</w:t>
            </w:r>
          </w:p>
          <w:p w14:paraId="4C26A587">
            <w:pPr>
              <w:rPr>
                <w:rFonts w:eastAsia="Calibri"/>
                <w:lang w:val="sv-SE"/>
              </w:rPr>
            </w:pPr>
          </w:p>
        </w:tc>
      </w:tr>
      <w:tr w14:paraId="7A4B0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9" w:hRule="atLeast"/>
        </w:trPr>
        <w:tc>
          <w:tcPr>
            <w:tcW w:w="732" w:type="dxa"/>
            <w:vMerge w:val="restart"/>
            <w:shd w:val="clear" w:color="auto" w:fill="E7E6E6"/>
            <w:vAlign w:val="center"/>
          </w:tcPr>
          <w:p w14:paraId="4A9BB48F">
            <w:pPr>
              <w:ind w:left="-90" w:right="-108"/>
              <w:jc w:val="center"/>
              <w:rPr>
                <w:rFonts w:eastAsia="Calibri"/>
                <w:b/>
              </w:rPr>
            </w:pPr>
            <w:r>
              <w:rPr>
                <w:rFonts w:eastAsia="Calibri"/>
                <w:b/>
              </w:rPr>
              <w:t>Mg Ke-</w:t>
            </w:r>
          </w:p>
        </w:tc>
        <w:tc>
          <w:tcPr>
            <w:tcW w:w="2093" w:type="dxa"/>
            <w:gridSpan w:val="2"/>
            <w:vMerge w:val="restart"/>
            <w:shd w:val="clear" w:color="auto" w:fill="E7E6E6"/>
            <w:vAlign w:val="center"/>
          </w:tcPr>
          <w:p w14:paraId="526ABC0C">
            <w:pPr>
              <w:jc w:val="center"/>
              <w:rPr>
                <w:rFonts w:eastAsia="Calibri"/>
                <w:b/>
              </w:rPr>
            </w:pPr>
            <w:r>
              <w:rPr>
                <w:rFonts w:eastAsia="Calibri"/>
                <w:b/>
              </w:rPr>
              <w:t xml:space="preserve">Kemampuan akhir tiap tahapan belajar </w:t>
            </w:r>
          </w:p>
          <w:p w14:paraId="63BD0574">
            <w:pPr>
              <w:jc w:val="center"/>
              <w:rPr>
                <w:rFonts w:eastAsia="Calibri"/>
                <w:b/>
              </w:rPr>
            </w:pPr>
            <w:r>
              <w:rPr>
                <w:rFonts w:eastAsia="Calibri"/>
                <w:b/>
              </w:rPr>
              <w:t>(Sub-CPMK)</w:t>
            </w:r>
          </w:p>
        </w:tc>
        <w:tc>
          <w:tcPr>
            <w:tcW w:w="3824" w:type="dxa"/>
            <w:gridSpan w:val="4"/>
            <w:shd w:val="clear" w:color="auto" w:fill="E7E6E6"/>
            <w:vAlign w:val="center"/>
          </w:tcPr>
          <w:p w14:paraId="65871EF6">
            <w:pPr>
              <w:jc w:val="center"/>
              <w:rPr>
                <w:rFonts w:eastAsia="Calibri"/>
                <w:b/>
              </w:rPr>
            </w:pPr>
            <w:r>
              <w:rPr>
                <w:rFonts w:eastAsia="Calibri"/>
                <w:b/>
              </w:rPr>
              <w:t>Penilaian</w:t>
            </w:r>
          </w:p>
        </w:tc>
        <w:tc>
          <w:tcPr>
            <w:tcW w:w="3558" w:type="dxa"/>
            <w:gridSpan w:val="6"/>
            <w:shd w:val="clear" w:color="auto" w:fill="E7E6E6"/>
          </w:tcPr>
          <w:p w14:paraId="0BBBABD2">
            <w:pPr>
              <w:jc w:val="center"/>
              <w:rPr>
                <w:rFonts w:eastAsia="Calibri"/>
                <w:b/>
                <w:lang w:val="sv-SE"/>
              </w:rPr>
            </w:pPr>
            <w:r>
              <w:rPr>
                <w:rFonts w:eastAsia="Calibri"/>
                <w:b/>
                <w:lang w:val="sv-SE"/>
              </w:rPr>
              <w:t>Bantuk Pembelajaran,</w:t>
            </w:r>
          </w:p>
          <w:p w14:paraId="39BB52B5">
            <w:pPr>
              <w:jc w:val="center"/>
              <w:rPr>
                <w:rFonts w:eastAsia="Calibri"/>
                <w:b/>
                <w:lang w:val="sv-SE"/>
              </w:rPr>
            </w:pPr>
            <w:r>
              <w:rPr>
                <w:rFonts w:eastAsia="Calibri"/>
                <w:b/>
                <w:lang w:val="sv-SE"/>
              </w:rPr>
              <w:t xml:space="preserve">Metode Pembelajaran, </w:t>
            </w:r>
          </w:p>
          <w:p w14:paraId="6260C52A">
            <w:pPr>
              <w:jc w:val="center"/>
              <w:rPr>
                <w:rFonts w:eastAsia="Calibri"/>
                <w:b/>
                <w:lang w:val="sv-SE"/>
              </w:rPr>
            </w:pPr>
            <w:r>
              <w:rPr>
                <w:rFonts w:eastAsia="Calibri"/>
                <w:b/>
                <w:lang w:val="sv-SE"/>
              </w:rPr>
              <w:t>Penugasan Mahasiswa,</w:t>
            </w:r>
          </w:p>
          <w:p w14:paraId="3578CD2D">
            <w:pPr>
              <w:jc w:val="center"/>
              <w:rPr>
                <w:rFonts w:eastAsia="Calibri"/>
                <w:b/>
              </w:rPr>
            </w:pPr>
            <w:r>
              <w:rPr>
                <w:rFonts w:eastAsia="Calibri"/>
                <w:b/>
                <w:color w:val="0000FF"/>
                <w:lang w:val="sv-SE"/>
              </w:rPr>
              <w:t xml:space="preserve"> </w:t>
            </w:r>
            <w:r>
              <w:rPr>
                <w:rFonts w:eastAsia="Calibri"/>
                <w:b/>
                <w:color w:val="0000FF"/>
              </w:rPr>
              <w:t>[ Estimasi Waktu]</w:t>
            </w:r>
          </w:p>
        </w:tc>
        <w:tc>
          <w:tcPr>
            <w:tcW w:w="1559" w:type="dxa"/>
            <w:gridSpan w:val="2"/>
            <w:vMerge w:val="restart"/>
            <w:shd w:val="clear" w:color="auto" w:fill="E7E6E6"/>
            <w:vAlign w:val="center"/>
          </w:tcPr>
          <w:p w14:paraId="766406EB">
            <w:pPr>
              <w:jc w:val="center"/>
              <w:rPr>
                <w:rFonts w:eastAsia="Calibri"/>
                <w:b/>
              </w:rPr>
            </w:pPr>
            <w:r>
              <w:rPr>
                <w:rFonts w:eastAsia="Calibri"/>
                <w:b/>
              </w:rPr>
              <w:t>Materi Pembelajaran</w:t>
            </w:r>
          </w:p>
          <w:p w14:paraId="766A61D3">
            <w:pPr>
              <w:jc w:val="center"/>
              <w:rPr>
                <w:rFonts w:eastAsia="Calibri"/>
                <w:b/>
              </w:rPr>
            </w:pPr>
            <w:r>
              <w:rPr>
                <w:rFonts w:eastAsia="Calibri"/>
                <w:b/>
                <w:color w:val="0000FF"/>
              </w:rPr>
              <w:t>[ Pustaka ]</w:t>
            </w:r>
          </w:p>
        </w:tc>
        <w:tc>
          <w:tcPr>
            <w:tcW w:w="1140" w:type="dxa"/>
            <w:vMerge w:val="restart"/>
            <w:shd w:val="clear" w:color="auto" w:fill="E7E6E6"/>
            <w:vAlign w:val="center"/>
          </w:tcPr>
          <w:p w14:paraId="6A37D09D">
            <w:pPr>
              <w:jc w:val="center"/>
              <w:rPr>
                <w:rFonts w:eastAsia="Calibri"/>
                <w:b/>
              </w:rPr>
            </w:pPr>
            <w:r>
              <w:rPr>
                <w:rFonts w:eastAsia="Calibri"/>
                <w:b/>
              </w:rPr>
              <w:t>Bobot Penilaian (%)</w:t>
            </w:r>
          </w:p>
        </w:tc>
      </w:tr>
      <w:tr w14:paraId="360AF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 w:hRule="atLeast"/>
        </w:trPr>
        <w:tc>
          <w:tcPr>
            <w:tcW w:w="732" w:type="dxa"/>
            <w:vMerge w:val="continue"/>
            <w:shd w:val="clear" w:color="auto" w:fill="E7E6E6"/>
            <w:vAlign w:val="center"/>
          </w:tcPr>
          <w:p w14:paraId="2B26AF1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b/>
              </w:rPr>
            </w:pPr>
          </w:p>
        </w:tc>
        <w:tc>
          <w:tcPr>
            <w:tcW w:w="2093" w:type="dxa"/>
            <w:gridSpan w:val="2"/>
            <w:vMerge w:val="continue"/>
            <w:shd w:val="clear" w:color="auto" w:fill="E7E6E6"/>
            <w:vAlign w:val="center"/>
          </w:tcPr>
          <w:p w14:paraId="06180A5B">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b/>
              </w:rPr>
            </w:pPr>
          </w:p>
        </w:tc>
        <w:tc>
          <w:tcPr>
            <w:tcW w:w="1700" w:type="dxa"/>
            <w:gridSpan w:val="2"/>
            <w:shd w:val="clear" w:color="auto" w:fill="E7E6E6"/>
          </w:tcPr>
          <w:p w14:paraId="63520858">
            <w:pPr>
              <w:jc w:val="center"/>
              <w:rPr>
                <w:rFonts w:eastAsia="Calibri"/>
                <w:b/>
              </w:rPr>
            </w:pPr>
            <w:r>
              <w:rPr>
                <w:rFonts w:eastAsia="Calibri"/>
                <w:b/>
              </w:rPr>
              <w:t>Indikator</w:t>
            </w:r>
          </w:p>
        </w:tc>
        <w:tc>
          <w:tcPr>
            <w:tcW w:w="2124" w:type="dxa"/>
            <w:gridSpan w:val="2"/>
            <w:shd w:val="clear" w:color="auto" w:fill="E7E6E6"/>
          </w:tcPr>
          <w:p w14:paraId="5D16F627">
            <w:pPr>
              <w:jc w:val="center"/>
              <w:rPr>
                <w:rFonts w:eastAsia="Calibri"/>
                <w:b/>
              </w:rPr>
            </w:pPr>
            <w:r>
              <w:rPr>
                <w:rFonts w:eastAsia="Calibri"/>
                <w:b/>
              </w:rPr>
              <w:t>Kriteria &amp; Teknik</w:t>
            </w:r>
          </w:p>
        </w:tc>
        <w:tc>
          <w:tcPr>
            <w:tcW w:w="1703" w:type="dxa"/>
            <w:gridSpan w:val="3"/>
            <w:shd w:val="clear" w:color="auto" w:fill="E7E6E6"/>
          </w:tcPr>
          <w:p w14:paraId="54EE1C5F">
            <w:pPr>
              <w:jc w:val="center"/>
              <w:rPr>
                <w:rFonts w:eastAsia="Calibri"/>
                <w:b/>
              </w:rPr>
            </w:pPr>
            <w:r>
              <w:rPr>
                <w:rFonts w:eastAsia="Calibri"/>
                <w:b/>
              </w:rPr>
              <w:t>Luring (</w:t>
            </w:r>
            <w:r>
              <w:rPr>
                <w:rFonts w:eastAsia="Calibri"/>
                <w:b/>
                <w:i/>
              </w:rPr>
              <w:t>offline</w:t>
            </w:r>
            <w:r>
              <w:rPr>
                <w:rFonts w:eastAsia="Calibri"/>
                <w:b/>
              </w:rPr>
              <w:t>)</w:t>
            </w:r>
          </w:p>
        </w:tc>
        <w:tc>
          <w:tcPr>
            <w:tcW w:w="1855" w:type="dxa"/>
            <w:gridSpan w:val="3"/>
            <w:shd w:val="clear" w:color="auto" w:fill="E7E6E6"/>
          </w:tcPr>
          <w:p w14:paraId="4DC3390F">
            <w:pPr>
              <w:jc w:val="center"/>
              <w:rPr>
                <w:rFonts w:eastAsia="Calibri"/>
                <w:b/>
              </w:rPr>
            </w:pPr>
            <w:r>
              <w:rPr>
                <w:rFonts w:eastAsia="Calibri"/>
                <w:b/>
              </w:rPr>
              <w:t>Daring (</w:t>
            </w:r>
            <w:r>
              <w:rPr>
                <w:rFonts w:eastAsia="Calibri"/>
                <w:b/>
                <w:i/>
              </w:rPr>
              <w:t>online</w:t>
            </w:r>
            <w:r>
              <w:rPr>
                <w:rFonts w:eastAsia="Calibri"/>
                <w:b/>
              </w:rPr>
              <w:t>)</w:t>
            </w:r>
          </w:p>
        </w:tc>
        <w:tc>
          <w:tcPr>
            <w:tcW w:w="1559" w:type="dxa"/>
            <w:gridSpan w:val="2"/>
            <w:vMerge w:val="continue"/>
            <w:shd w:val="clear" w:color="auto" w:fill="E7E6E6"/>
            <w:vAlign w:val="center"/>
          </w:tcPr>
          <w:p w14:paraId="5570D867">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b/>
              </w:rPr>
            </w:pPr>
          </w:p>
        </w:tc>
        <w:tc>
          <w:tcPr>
            <w:tcW w:w="1140" w:type="dxa"/>
            <w:vMerge w:val="continue"/>
            <w:shd w:val="clear" w:color="auto" w:fill="E7E6E6"/>
            <w:vAlign w:val="center"/>
          </w:tcPr>
          <w:p w14:paraId="652ACD18">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eastAsia="Calibri"/>
                <w:b/>
              </w:rPr>
            </w:pPr>
          </w:p>
        </w:tc>
      </w:tr>
      <w:tr w14:paraId="0F7F2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732" w:type="dxa"/>
            <w:shd w:val="clear" w:color="auto" w:fill="E7E6E6"/>
          </w:tcPr>
          <w:p w14:paraId="5EC75E6B">
            <w:pPr>
              <w:ind w:left="-90" w:right="-108"/>
              <w:jc w:val="center"/>
              <w:rPr>
                <w:rFonts w:eastAsia="Calibri"/>
                <w:b/>
              </w:rPr>
            </w:pPr>
            <w:r>
              <w:rPr>
                <w:rFonts w:eastAsia="Calibri"/>
                <w:b/>
              </w:rPr>
              <w:t>(1)</w:t>
            </w:r>
          </w:p>
        </w:tc>
        <w:tc>
          <w:tcPr>
            <w:tcW w:w="2093" w:type="dxa"/>
            <w:gridSpan w:val="2"/>
            <w:shd w:val="clear" w:color="auto" w:fill="E7E6E6"/>
          </w:tcPr>
          <w:p w14:paraId="217E11EE">
            <w:pPr>
              <w:jc w:val="center"/>
              <w:rPr>
                <w:rFonts w:eastAsia="Calibri"/>
                <w:b/>
              </w:rPr>
            </w:pPr>
            <w:r>
              <w:rPr>
                <w:rFonts w:eastAsia="Calibri"/>
                <w:b/>
              </w:rPr>
              <w:t>(2)</w:t>
            </w:r>
          </w:p>
        </w:tc>
        <w:tc>
          <w:tcPr>
            <w:tcW w:w="1700" w:type="dxa"/>
            <w:gridSpan w:val="2"/>
            <w:shd w:val="clear" w:color="auto" w:fill="E7E6E6"/>
          </w:tcPr>
          <w:p w14:paraId="7C828FE1">
            <w:pPr>
              <w:jc w:val="center"/>
              <w:rPr>
                <w:rFonts w:eastAsia="Calibri"/>
                <w:b/>
              </w:rPr>
            </w:pPr>
            <w:r>
              <w:rPr>
                <w:rFonts w:eastAsia="Calibri"/>
                <w:b/>
              </w:rPr>
              <w:t>(3)</w:t>
            </w:r>
          </w:p>
        </w:tc>
        <w:tc>
          <w:tcPr>
            <w:tcW w:w="2124" w:type="dxa"/>
            <w:gridSpan w:val="2"/>
            <w:shd w:val="clear" w:color="auto" w:fill="E7E6E6"/>
          </w:tcPr>
          <w:p w14:paraId="37D6A253">
            <w:pPr>
              <w:jc w:val="center"/>
              <w:rPr>
                <w:rFonts w:eastAsia="Calibri"/>
                <w:b/>
              </w:rPr>
            </w:pPr>
            <w:r>
              <w:rPr>
                <w:rFonts w:eastAsia="Calibri"/>
                <w:b/>
              </w:rPr>
              <w:t>(4)</w:t>
            </w:r>
          </w:p>
        </w:tc>
        <w:tc>
          <w:tcPr>
            <w:tcW w:w="1703" w:type="dxa"/>
            <w:gridSpan w:val="3"/>
            <w:shd w:val="clear" w:color="auto" w:fill="E7E6E6"/>
          </w:tcPr>
          <w:p w14:paraId="401E2018">
            <w:pPr>
              <w:jc w:val="center"/>
              <w:rPr>
                <w:rFonts w:eastAsia="Calibri"/>
                <w:b/>
              </w:rPr>
            </w:pPr>
            <w:r>
              <w:rPr>
                <w:rFonts w:eastAsia="Calibri"/>
                <w:b/>
              </w:rPr>
              <w:t>(5)</w:t>
            </w:r>
          </w:p>
        </w:tc>
        <w:tc>
          <w:tcPr>
            <w:tcW w:w="1855" w:type="dxa"/>
            <w:gridSpan w:val="3"/>
            <w:shd w:val="clear" w:color="auto" w:fill="E7E6E6"/>
          </w:tcPr>
          <w:p w14:paraId="5EC21FAB">
            <w:pPr>
              <w:jc w:val="center"/>
              <w:rPr>
                <w:rFonts w:eastAsia="Calibri"/>
                <w:b/>
              </w:rPr>
            </w:pPr>
            <w:r>
              <w:rPr>
                <w:rFonts w:eastAsia="Calibri"/>
                <w:b/>
              </w:rPr>
              <w:t>(6)</w:t>
            </w:r>
          </w:p>
        </w:tc>
        <w:tc>
          <w:tcPr>
            <w:tcW w:w="1559" w:type="dxa"/>
            <w:gridSpan w:val="2"/>
            <w:shd w:val="clear" w:color="auto" w:fill="E7E6E6"/>
          </w:tcPr>
          <w:p w14:paraId="5845D2FD">
            <w:pPr>
              <w:jc w:val="center"/>
              <w:rPr>
                <w:rFonts w:eastAsia="Calibri"/>
                <w:b/>
              </w:rPr>
            </w:pPr>
            <w:r>
              <w:rPr>
                <w:rFonts w:eastAsia="Calibri"/>
                <w:b/>
              </w:rPr>
              <w:t>(7)</w:t>
            </w:r>
          </w:p>
        </w:tc>
        <w:tc>
          <w:tcPr>
            <w:tcW w:w="1140" w:type="dxa"/>
            <w:shd w:val="clear" w:color="auto" w:fill="E7E6E6"/>
          </w:tcPr>
          <w:p w14:paraId="09BC1505">
            <w:pPr>
              <w:jc w:val="center"/>
              <w:rPr>
                <w:rFonts w:eastAsia="Calibri"/>
                <w:b/>
              </w:rPr>
            </w:pPr>
            <w:r>
              <w:rPr>
                <w:rFonts w:eastAsia="Calibri"/>
                <w:b/>
              </w:rPr>
              <w:t>(8)</w:t>
            </w:r>
          </w:p>
        </w:tc>
      </w:tr>
      <w:tr w14:paraId="5EB7E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tcPr>
          <w:p w14:paraId="1B903805">
            <w:pPr>
              <w:ind w:left="-90" w:right="-108"/>
              <w:jc w:val="center"/>
              <w:rPr>
                <w:rFonts w:eastAsia="Calibri"/>
                <w:b/>
              </w:rPr>
            </w:pPr>
            <w:r>
              <w:rPr>
                <w:rFonts w:eastAsia="Calibri"/>
                <w:b/>
              </w:rPr>
              <w:t>1-2</w:t>
            </w:r>
          </w:p>
        </w:tc>
        <w:tc>
          <w:tcPr>
            <w:tcW w:w="2093" w:type="dxa"/>
            <w:gridSpan w:val="2"/>
          </w:tcPr>
          <w:p w14:paraId="06C1E406">
            <w:pPr>
              <w:ind w:hanging="15"/>
              <w:rPr>
                <w:rFonts w:eastAsia="Calibri"/>
              </w:rPr>
            </w:pPr>
            <w:r>
              <w:t>Memahami konsep dasar bahaya dan risiko psikososial</w:t>
            </w:r>
          </w:p>
        </w:tc>
        <w:tc>
          <w:tcPr>
            <w:tcW w:w="1700" w:type="dxa"/>
            <w:gridSpan w:val="2"/>
          </w:tcPr>
          <w:p w14:paraId="5755633D">
            <w:pPr>
              <w:rPr>
                <w:rFonts w:eastAsia="Calibri"/>
                <w:b/>
                <w:color w:val="0432FF"/>
              </w:rPr>
            </w:pPr>
            <w:r>
              <w:t>Menjelaskan konsep dasar bahaya &amp; risiko psikososial.</w:t>
            </w:r>
          </w:p>
        </w:tc>
        <w:tc>
          <w:tcPr>
            <w:tcW w:w="2124" w:type="dxa"/>
            <w:gridSpan w:val="2"/>
          </w:tcPr>
          <w:p w14:paraId="01CD09AF">
            <w:pPr>
              <w:rPr>
                <w:rFonts w:eastAsia="Calibri"/>
              </w:rPr>
            </w:pPr>
          </w:p>
        </w:tc>
        <w:tc>
          <w:tcPr>
            <w:tcW w:w="1703" w:type="dxa"/>
            <w:gridSpan w:val="3"/>
          </w:tcPr>
          <w:p w14:paraId="31F92EFB">
            <w:pPr>
              <w:ind w:left="72"/>
              <w:rPr>
                <w:rFonts w:eastAsia="Calibri"/>
                <w:b/>
              </w:rPr>
            </w:pPr>
            <w:r>
              <w:t>Ceramah, diskusi</w:t>
            </w:r>
          </w:p>
        </w:tc>
        <w:tc>
          <w:tcPr>
            <w:tcW w:w="1855" w:type="dxa"/>
            <w:gridSpan w:val="3"/>
          </w:tcPr>
          <w:p w14:paraId="3F8C13B3">
            <w:pPr>
              <w:rPr>
                <w:rFonts w:eastAsia="Calibri"/>
                <w:b/>
              </w:rPr>
            </w:pPr>
          </w:p>
        </w:tc>
        <w:tc>
          <w:tcPr>
            <w:tcW w:w="1559" w:type="dxa"/>
            <w:gridSpan w:val="2"/>
          </w:tcPr>
          <w:p w14:paraId="7BDC9390">
            <w:pPr>
              <w:rPr>
                <w:rFonts w:eastAsia="Calibri"/>
                <w:b/>
              </w:rPr>
            </w:pPr>
            <w:r>
              <w:t>Konsep dasar bahaya psikososial</w:t>
            </w:r>
          </w:p>
        </w:tc>
        <w:tc>
          <w:tcPr>
            <w:tcW w:w="1140" w:type="dxa"/>
          </w:tcPr>
          <w:p w14:paraId="5815FDD6">
            <w:pPr>
              <w:jc w:val="center"/>
              <w:rPr>
                <w:rFonts w:eastAsia="Calibri"/>
                <w:b/>
              </w:rPr>
            </w:pPr>
            <w:r>
              <w:rPr>
                <w:rFonts w:eastAsia="Calibri"/>
                <w:b/>
              </w:rPr>
              <w:t>5%</w:t>
            </w:r>
          </w:p>
        </w:tc>
      </w:tr>
      <w:tr w14:paraId="02FB8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tcPr>
          <w:p w14:paraId="4FD00DDE">
            <w:pPr>
              <w:ind w:left="-90" w:right="-108"/>
              <w:jc w:val="center"/>
              <w:rPr>
                <w:rFonts w:eastAsia="Calibri"/>
                <w:b/>
              </w:rPr>
            </w:pPr>
            <w:r>
              <w:rPr>
                <w:rFonts w:eastAsia="Calibri"/>
                <w:b/>
              </w:rPr>
              <w:t>3-4</w:t>
            </w:r>
          </w:p>
        </w:tc>
        <w:tc>
          <w:tcPr>
            <w:tcW w:w="2093" w:type="dxa"/>
            <w:gridSpan w:val="2"/>
          </w:tcPr>
          <w:p w14:paraId="7BB0CF3E">
            <w:pPr>
              <w:rPr>
                <w:rFonts w:eastAsia="Calibri"/>
              </w:rPr>
            </w:pPr>
            <w:r>
              <w:t>Menjelaskan faktor penyebab stres kerja dan burnout</w:t>
            </w:r>
          </w:p>
        </w:tc>
        <w:tc>
          <w:tcPr>
            <w:tcW w:w="1700" w:type="dxa"/>
            <w:gridSpan w:val="2"/>
          </w:tcPr>
          <w:p w14:paraId="490B764F">
            <w:pPr>
              <w:rPr>
                <w:rFonts w:eastAsia="Calibri"/>
                <w:b/>
              </w:rPr>
            </w:pPr>
            <w:r>
              <w:t>Menganalisis faktor penyebab stres kerja &amp; burnout.</w:t>
            </w:r>
          </w:p>
        </w:tc>
        <w:tc>
          <w:tcPr>
            <w:tcW w:w="2124" w:type="dxa"/>
            <w:gridSpan w:val="2"/>
          </w:tcPr>
          <w:p w14:paraId="57C6870B">
            <w:pPr>
              <w:rPr>
                <w:rFonts w:eastAsia="Trebuchet MS"/>
              </w:rPr>
            </w:pPr>
          </w:p>
        </w:tc>
        <w:tc>
          <w:tcPr>
            <w:tcW w:w="1703" w:type="dxa"/>
            <w:gridSpan w:val="3"/>
          </w:tcPr>
          <w:p w14:paraId="7637A2BC">
            <w:pPr>
              <w:rPr>
                <w:rFonts w:eastAsia="Trebuchet MS"/>
              </w:rPr>
            </w:pPr>
            <w:r>
              <w:t>Diskusi, studi kasus</w:t>
            </w:r>
          </w:p>
        </w:tc>
        <w:tc>
          <w:tcPr>
            <w:tcW w:w="1855" w:type="dxa"/>
            <w:gridSpan w:val="3"/>
          </w:tcPr>
          <w:p w14:paraId="4F6AFC29">
            <w:pPr>
              <w:rPr>
                <w:rFonts w:eastAsia="Calibri"/>
                <w:b/>
              </w:rPr>
            </w:pPr>
          </w:p>
        </w:tc>
        <w:tc>
          <w:tcPr>
            <w:tcW w:w="1559" w:type="dxa"/>
            <w:gridSpan w:val="2"/>
          </w:tcPr>
          <w:p w14:paraId="56588018">
            <w:pPr>
              <w:tabs>
                <w:tab w:val="center" w:pos="671"/>
              </w:tabs>
              <w:rPr>
                <w:rFonts w:eastAsia="Calibri"/>
                <w:b/>
              </w:rPr>
            </w:pPr>
            <w:r>
              <w:rPr>
                <w:rFonts w:eastAsia="Calibri"/>
                <w:b/>
              </w:rPr>
              <w:t xml:space="preserve"> </w:t>
            </w:r>
            <w:r>
              <w:t>Faktor penyebab stres, burnout</w:t>
            </w:r>
          </w:p>
        </w:tc>
        <w:tc>
          <w:tcPr>
            <w:tcW w:w="1140" w:type="dxa"/>
          </w:tcPr>
          <w:p w14:paraId="1C36F256">
            <w:pPr>
              <w:jc w:val="center"/>
              <w:rPr>
                <w:rFonts w:eastAsia="Calibri"/>
                <w:b/>
              </w:rPr>
            </w:pPr>
            <w:r>
              <w:rPr>
                <w:rFonts w:eastAsia="Calibri"/>
                <w:b/>
              </w:rPr>
              <w:t>5%</w:t>
            </w:r>
          </w:p>
        </w:tc>
      </w:tr>
      <w:tr w14:paraId="2F11F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tcPr>
          <w:p w14:paraId="06EA547C">
            <w:pPr>
              <w:ind w:left="-90" w:right="-108"/>
              <w:jc w:val="center"/>
              <w:rPr>
                <w:rFonts w:eastAsia="Calibri"/>
                <w:b/>
              </w:rPr>
            </w:pPr>
            <w:r>
              <w:rPr>
                <w:rFonts w:eastAsia="Calibri"/>
                <w:b/>
              </w:rPr>
              <w:t>5-6</w:t>
            </w:r>
          </w:p>
        </w:tc>
        <w:tc>
          <w:tcPr>
            <w:tcW w:w="2093" w:type="dxa"/>
            <w:gridSpan w:val="2"/>
          </w:tcPr>
          <w:p w14:paraId="66B7BFC9">
            <w:pPr>
              <w:rPr>
                <w:rFonts w:eastAsia="Calibri"/>
              </w:rPr>
            </w:pPr>
            <w:r>
              <w:t>Menganalisis dampak psikososial</w:t>
            </w:r>
          </w:p>
        </w:tc>
        <w:tc>
          <w:tcPr>
            <w:tcW w:w="1700" w:type="dxa"/>
            <w:gridSpan w:val="2"/>
          </w:tcPr>
          <w:p w14:paraId="32456F55">
            <w:pPr>
              <w:rPr>
                <w:rFonts w:eastAsia="Calibri"/>
                <w:b/>
              </w:rPr>
            </w:pPr>
            <w:r>
              <w:t>Menguasai teori/model psikososial (JD-R, ERI, PE Fit).</w:t>
            </w:r>
          </w:p>
        </w:tc>
        <w:tc>
          <w:tcPr>
            <w:tcW w:w="2124" w:type="dxa"/>
            <w:gridSpan w:val="2"/>
          </w:tcPr>
          <w:p w14:paraId="2CCCDAF5">
            <w:pPr>
              <w:rPr>
                <w:rFonts w:eastAsia="Calibri"/>
                <w:b/>
              </w:rPr>
            </w:pPr>
          </w:p>
        </w:tc>
        <w:tc>
          <w:tcPr>
            <w:tcW w:w="1703" w:type="dxa"/>
            <w:gridSpan w:val="3"/>
          </w:tcPr>
          <w:p w14:paraId="49F8C2FE">
            <w:pPr>
              <w:rPr>
                <w:rFonts w:eastAsia="Calibri"/>
                <w:b/>
              </w:rPr>
            </w:pPr>
            <w:r>
              <w:t>Ceramah, studi literatur</w:t>
            </w:r>
          </w:p>
        </w:tc>
        <w:tc>
          <w:tcPr>
            <w:tcW w:w="1855" w:type="dxa"/>
            <w:gridSpan w:val="3"/>
          </w:tcPr>
          <w:p w14:paraId="675D69E1">
            <w:pPr>
              <w:rPr>
                <w:rFonts w:eastAsia="Calibri"/>
                <w:b/>
              </w:rPr>
            </w:pPr>
          </w:p>
        </w:tc>
        <w:tc>
          <w:tcPr>
            <w:tcW w:w="1559" w:type="dxa"/>
            <w:gridSpan w:val="2"/>
          </w:tcPr>
          <w:p w14:paraId="05B3D441">
            <w:pPr>
              <w:rPr>
                <w:rFonts w:eastAsia="Calibri"/>
                <w:b/>
              </w:rPr>
            </w:pPr>
            <w:r>
              <w:t>Dampak terhadap kesehatan &amp; produktivitas</w:t>
            </w:r>
          </w:p>
        </w:tc>
        <w:tc>
          <w:tcPr>
            <w:tcW w:w="1140" w:type="dxa"/>
          </w:tcPr>
          <w:p w14:paraId="5EE26A39">
            <w:pPr>
              <w:jc w:val="center"/>
              <w:rPr>
                <w:rFonts w:eastAsia="Calibri"/>
                <w:b/>
              </w:rPr>
            </w:pPr>
            <w:r>
              <w:rPr>
                <w:rFonts w:eastAsia="Calibri"/>
                <w:b/>
              </w:rPr>
              <w:t>5%</w:t>
            </w:r>
          </w:p>
        </w:tc>
      </w:tr>
      <w:tr w14:paraId="12D224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tcPr>
          <w:p w14:paraId="7BCF0645">
            <w:pPr>
              <w:ind w:left="-90" w:right="-108"/>
              <w:jc w:val="center"/>
              <w:rPr>
                <w:rFonts w:eastAsia="Calibri"/>
                <w:b/>
              </w:rPr>
            </w:pPr>
            <w:r>
              <w:rPr>
                <w:rFonts w:eastAsia="Calibri"/>
                <w:b/>
              </w:rPr>
              <w:t>7</w:t>
            </w:r>
          </w:p>
        </w:tc>
        <w:tc>
          <w:tcPr>
            <w:tcW w:w="2093" w:type="dxa"/>
            <w:gridSpan w:val="2"/>
          </w:tcPr>
          <w:p w14:paraId="503089FD">
            <w:pPr>
              <w:ind w:left="-15"/>
              <w:rPr>
                <w:rFonts w:eastAsia="Calibri"/>
              </w:rPr>
            </w:pPr>
            <w:r>
              <w:t>Melakukan identifikasi risiko psikososial</w:t>
            </w:r>
          </w:p>
        </w:tc>
        <w:tc>
          <w:tcPr>
            <w:tcW w:w="1700" w:type="dxa"/>
            <w:gridSpan w:val="2"/>
          </w:tcPr>
          <w:p w14:paraId="712A91BD">
            <w:pPr>
              <w:rPr>
                <w:rFonts w:eastAsia="Calibri"/>
                <w:b/>
              </w:rPr>
            </w:pPr>
            <w:r>
              <w:t>Melakukan identifikasi risiko psikososial.</w:t>
            </w:r>
          </w:p>
        </w:tc>
        <w:tc>
          <w:tcPr>
            <w:tcW w:w="2124" w:type="dxa"/>
            <w:gridSpan w:val="2"/>
          </w:tcPr>
          <w:p w14:paraId="0925EFE8">
            <w:pPr>
              <w:rPr>
                <w:rFonts w:eastAsia="Calibri"/>
                <w:b/>
              </w:rPr>
            </w:pPr>
          </w:p>
        </w:tc>
        <w:tc>
          <w:tcPr>
            <w:tcW w:w="1703" w:type="dxa"/>
            <w:gridSpan w:val="3"/>
          </w:tcPr>
          <w:p w14:paraId="0F714EA8">
            <w:pPr>
              <w:rPr>
                <w:rFonts w:eastAsia="Calibri"/>
                <w:b/>
              </w:rPr>
            </w:pPr>
            <w:r>
              <w:t>Praktikum, simulasi</w:t>
            </w:r>
          </w:p>
        </w:tc>
        <w:tc>
          <w:tcPr>
            <w:tcW w:w="1855" w:type="dxa"/>
            <w:gridSpan w:val="3"/>
          </w:tcPr>
          <w:p w14:paraId="08E33F6D">
            <w:pPr>
              <w:rPr>
                <w:rFonts w:eastAsia="Calibri"/>
                <w:b/>
              </w:rPr>
            </w:pPr>
          </w:p>
        </w:tc>
        <w:tc>
          <w:tcPr>
            <w:tcW w:w="1559" w:type="dxa"/>
            <w:gridSpan w:val="2"/>
          </w:tcPr>
          <w:p w14:paraId="7968AD66">
            <w:pPr>
              <w:rPr>
                <w:rFonts w:eastAsia="Calibri"/>
                <w:b/>
              </w:rPr>
            </w:pPr>
            <w:r>
              <w:t>Metode identifikasi (kuesioner, observasi)</w:t>
            </w:r>
          </w:p>
        </w:tc>
        <w:tc>
          <w:tcPr>
            <w:tcW w:w="1140" w:type="dxa"/>
          </w:tcPr>
          <w:p w14:paraId="07318BF0">
            <w:pPr>
              <w:jc w:val="center"/>
              <w:rPr>
                <w:rFonts w:eastAsia="Calibri"/>
                <w:b/>
              </w:rPr>
            </w:pPr>
            <w:r>
              <w:rPr>
                <w:rFonts w:eastAsia="Calibri"/>
                <w:b/>
              </w:rPr>
              <w:t>10%</w:t>
            </w:r>
          </w:p>
        </w:tc>
      </w:tr>
      <w:tr w14:paraId="68311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tcPr>
          <w:p w14:paraId="75761A73">
            <w:pPr>
              <w:ind w:left="-90" w:right="-108"/>
              <w:jc w:val="center"/>
              <w:rPr>
                <w:rFonts w:eastAsia="Calibri"/>
                <w:b/>
              </w:rPr>
            </w:pPr>
            <w:r>
              <w:rPr>
                <w:rFonts w:eastAsia="Calibri"/>
                <w:b/>
              </w:rPr>
              <w:t>8</w:t>
            </w:r>
          </w:p>
        </w:tc>
        <w:tc>
          <w:tcPr>
            <w:tcW w:w="2093" w:type="dxa"/>
            <w:gridSpan w:val="2"/>
          </w:tcPr>
          <w:p w14:paraId="4EE1B71F">
            <w:pPr>
              <w:ind w:left="142"/>
              <w:rPr>
                <w:rFonts w:eastAsia="Calibri"/>
              </w:rPr>
            </w:pPr>
            <w:r>
              <w:rPr>
                <w:rFonts w:eastAsia="Calibri"/>
              </w:rPr>
              <w:t>UTS</w:t>
            </w:r>
          </w:p>
        </w:tc>
        <w:tc>
          <w:tcPr>
            <w:tcW w:w="1700" w:type="dxa"/>
            <w:gridSpan w:val="2"/>
          </w:tcPr>
          <w:p w14:paraId="443AF827">
            <w:pPr>
              <w:rPr>
                <w:rFonts w:eastAsia="Calibri"/>
                <w:b/>
              </w:rPr>
            </w:pPr>
            <w:r>
              <w:t>Evaluasi teori &amp; analisis kasus</w:t>
            </w:r>
          </w:p>
        </w:tc>
        <w:tc>
          <w:tcPr>
            <w:tcW w:w="2124" w:type="dxa"/>
            <w:gridSpan w:val="2"/>
          </w:tcPr>
          <w:p w14:paraId="254ECC7B">
            <w:pPr>
              <w:rPr>
                <w:rFonts w:eastAsia="Calibri"/>
                <w:b/>
              </w:rPr>
            </w:pPr>
          </w:p>
        </w:tc>
        <w:tc>
          <w:tcPr>
            <w:tcW w:w="1703" w:type="dxa"/>
            <w:gridSpan w:val="3"/>
          </w:tcPr>
          <w:p w14:paraId="5B075C21">
            <w:pPr>
              <w:rPr>
                <w:rFonts w:eastAsia="Calibri"/>
                <w:b/>
              </w:rPr>
            </w:pPr>
            <w:r>
              <w:t>Ujian tulis</w:t>
            </w:r>
          </w:p>
        </w:tc>
        <w:tc>
          <w:tcPr>
            <w:tcW w:w="1855" w:type="dxa"/>
            <w:gridSpan w:val="3"/>
          </w:tcPr>
          <w:p w14:paraId="446648D6">
            <w:pPr>
              <w:rPr>
                <w:rFonts w:eastAsia="Calibri"/>
                <w:b/>
              </w:rPr>
            </w:pPr>
          </w:p>
        </w:tc>
        <w:tc>
          <w:tcPr>
            <w:tcW w:w="1559" w:type="dxa"/>
            <w:gridSpan w:val="2"/>
          </w:tcPr>
          <w:p w14:paraId="23051455">
            <w:pPr>
              <w:rPr>
                <w:rFonts w:eastAsia="Calibri"/>
              </w:rPr>
            </w:pPr>
            <w:r>
              <w:rPr>
                <w:rFonts w:eastAsia="Calibri"/>
              </w:rPr>
              <w:t>Tes Tertulis</w:t>
            </w:r>
          </w:p>
        </w:tc>
        <w:tc>
          <w:tcPr>
            <w:tcW w:w="1140" w:type="dxa"/>
          </w:tcPr>
          <w:p w14:paraId="14E9CB83">
            <w:pPr>
              <w:jc w:val="center"/>
              <w:rPr>
                <w:rFonts w:eastAsia="Calibri"/>
                <w:b/>
              </w:rPr>
            </w:pPr>
            <w:r>
              <w:rPr>
                <w:rFonts w:eastAsia="Calibri"/>
                <w:b/>
              </w:rPr>
              <w:t>20%</w:t>
            </w:r>
          </w:p>
        </w:tc>
      </w:tr>
      <w:tr w14:paraId="706B5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tcPr>
          <w:p w14:paraId="12721923">
            <w:pPr>
              <w:ind w:left="-90" w:right="-108"/>
              <w:jc w:val="center"/>
              <w:rPr>
                <w:rFonts w:eastAsia="Calibri"/>
                <w:b/>
              </w:rPr>
            </w:pPr>
            <w:r>
              <w:rPr>
                <w:rFonts w:eastAsia="Calibri"/>
                <w:b/>
              </w:rPr>
              <w:t>9-10</w:t>
            </w:r>
          </w:p>
        </w:tc>
        <w:tc>
          <w:tcPr>
            <w:tcW w:w="2093" w:type="dxa"/>
            <w:gridSpan w:val="2"/>
          </w:tcPr>
          <w:p w14:paraId="3E3B04DE">
            <w:pPr>
              <w:ind w:left="142"/>
              <w:rPr>
                <w:rFonts w:eastAsia="Calibri"/>
              </w:rPr>
            </w:pPr>
            <w:r>
              <w:t>Menyusun strategi pencegahan</w:t>
            </w:r>
          </w:p>
        </w:tc>
        <w:tc>
          <w:tcPr>
            <w:tcW w:w="1700" w:type="dxa"/>
            <w:gridSpan w:val="2"/>
          </w:tcPr>
          <w:p w14:paraId="7936987B">
            <w:pPr>
              <w:rPr>
                <w:rFonts w:eastAsia="Calibri"/>
                <w:b/>
              </w:rPr>
            </w:pPr>
            <w:r>
              <w:t>Menyusun strategi intervensi &amp; pengendalian.</w:t>
            </w:r>
          </w:p>
        </w:tc>
        <w:tc>
          <w:tcPr>
            <w:tcW w:w="2124" w:type="dxa"/>
            <w:gridSpan w:val="2"/>
          </w:tcPr>
          <w:p w14:paraId="3E848CBD">
            <w:pPr>
              <w:rPr>
                <w:rFonts w:eastAsia="Calibri"/>
                <w:b/>
              </w:rPr>
            </w:pPr>
          </w:p>
        </w:tc>
        <w:tc>
          <w:tcPr>
            <w:tcW w:w="1703" w:type="dxa"/>
            <w:gridSpan w:val="3"/>
          </w:tcPr>
          <w:p w14:paraId="7E17F16B">
            <w:pPr>
              <w:rPr>
                <w:rFonts w:eastAsia="Calibri"/>
                <w:b/>
              </w:rPr>
            </w:pPr>
            <w:r>
              <w:t>Project-based learning</w:t>
            </w:r>
          </w:p>
        </w:tc>
        <w:tc>
          <w:tcPr>
            <w:tcW w:w="1855" w:type="dxa"/>
            <w:gridSpan w:val="3"/>
          </w:tcPr>
          <w:p w14:paraId="77959000">
            <w:pPr>
              <w:rPr>
                <w:rFonts w:eastAsia="Calibri"/>
                <w:b/>
              </w:rPr>
            </w:pPr>
          </w:p>
        </w:tc>
        <w:tc>
          <w:tcPr>
            <w:tcW w:w="1559" w:type="dxa"/>
            <w:gridSpan w:val="2"/>
          </w:tcPr>
          <w:p w14:paraId="3FC25333">
            <w:pPr>
              <w:rPr>
                <w:rFonts w:eastAsia="Calibri"/>
                <w:b/>
              </w:rPr>
            </w:pPr>
            <w:r>
              <w:t>Project-based learning</w:t>
            </w:r>
          </w:p>
        </w:tc>
        <w:tc>
          <w:tcPr>
            <w:tcW w:w="1140" w:type="dxa"/>
          </w:tcPr>
          <w:p w14:paraId="1CFEA778">
            <w:pPr>
              <w:jc w:val="center"/>
              <w:rPr>
                <w:rFonts w:eastAsia="Calibri"/>
                <w:b/>
              </w:rPr>
            </w:pPr>
            <w:r>
              <w:rPr>
                <w:rFonts w:eastAsia="Calibri"/>
                <w:b/>
              </w:rPr>
              <w:t>15%</w:t>
            </w:r>
          </w:p>
        </w:tc>
      </w:tr>
      <w:tr w14:paraId="22DD8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tcPr>
          <w:p w14:paraId="6E8AC17C">
            <w:pPr>
              <w:ind w:left="-90" w:right="-108"/>
              <w:jc w:val="center"/>
              <w:rPr>
                <w:rFonts w:eastAsia="Calibri"/>
                <w:b/>
              </w:rPr>
            </w:pPr>
            <w:r>
              <w:rPr>
                <w:rFonts w:eastAsia="Calibri"/>
                <w:b/>
              </w:rPr>
              <w:t>11-12</w:t>
            </w:r>
          </w:p>
        </w:tc>
        <w:tc>
          <w:tcPr>
            <w:tcW w:w="2093" w:type="dxa"/>
            <w:gridSpan w:val="2"/>
          </w:tcPr>
          <w:p w14:paraId="5C2D9EC4">
            <w:pPr>
              <w:ind w:left="142"/>
              <w:rPr>
                <w:rFonts w:eastAsia="Calibri"/>
              </w:rPr>
            </w:pPr>
            <w:r>
              <w:t>Studi kasus manajemen stres</w:t>
            </w:r>
          </w:p>
        </w:tc>
        <w:tc>
          <w:tcPr>
            <w:tcW w:w="1700" w:type="dxa"/>
            <w:gridSpan w:val="2"/>
          </w:tcPr>
          <w:p w14:paraId="5D30B49F">
            <w:pPr>
              <w:rPr>
                <w:rFonts w:eastAsia="Calibri"/>
                <w:b/>
              </w:rPr>
            </w:pPr>
            <w:r>
              <w:t>Diskusi &amp; kerja sama dalam studi kasus.</w:t>
            </w:r>
          </w:p>
        </w:tc>
        <w:tc>
          <w:tcPr>
            <w:tcW w:w="2124" w:type="dxa"/>
            <w:gridSpan w:val="2"/>
          </w:tcPr>
          <w:p w14:paraId="308E156C">
            <w:pPr>
              <w:rPr>
                <w:rFonts w:eastAsia="Calibri"/>
                <w:b/>
              </w:rPr>
            </w:pPr>
          </w:p>
        </w:tc>
        <w:tc>
          <w:tcPr>
            <w:tcW w:w="1703" w:type="dxa"/>
            <w:gridSpan w:val="3"/>
          </w:tcPr>
          <w:p w14:paraId="55D8AC05">
            <w:pPr>
              <w:rPr>
                <w:rFonts w:eastAsia="Calibri"/>
                <w:b/>
              </w:rPr>
            </w:pPr>
            <w:r>
              <w:t>Role play, simulasi</w:t>
            </w:r>
          </w:p>
        </w:tc>
        <w:tc>
          <w:tcPr>
            <w:tcW w:w="1855" w:type="dxa"/>
            <w:gridSpan w:val="3"/>
          </w:tcPr>
          <w:p w14:paraId="744C2935">
            <w:pPr>
              <w:rPr>
                <w:rFonts w:eastAsia="Calibri"/>
                <w:b/>
              </w:rPr>
            </w:pPr>
          </w:p>
        </w:tc>
        <w:tc>
          <w:tcPr>
            <w:tcW w:w="1559" w:type="dxa"/>
            <w:gridSpan w:val="2"/>
          </w:tcPr>
          <w:p w14:paraId="28D5DDF3">
            <w:pPr>
              <w:rPr>
                <w:rFonts w:eastAsia="Calibri"/>
                <w:b/>
              </w:rPr>
            </w:pPr>
            <w:r>
              <w:t>Simulasi manajemen stres</w:t>
            </w:r>
          </w:p>
        </w:tc>
        <w:tc>
          <w:tcPr>
            <w:tcW w:w="1140" w:type="dxa"/>
          </w:tcPr>
          <w:p w14:paraId="2FB08B52">
            <w:pPr>
              <w:jc w:val="center"/>
              <w:rPr>
                <w:rFonts w:eastAsia="Calibri"/>
                <w:b/>
              </w:rPr>
            </w:pPr>
            <w:r>
              <w:rPr>
                <w:rFonts w:eastAsia="Calibri"/>
                <w:b/>
              </w:rPr>
              <w:t>10%</w:t>
            </w:r>
          </w:p>
        </w:tc>
      </w:tr>
      <w:tr w14:paraId="75DE3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tcPr>
          <w:p w14:paraId="7ACED083">
            <w:pPr>
              <w:ind w:left="-90" w:right="-108"/>
              <w:jc w:val="center"/>
              <w:rPr>
                <w:rFonts w:eastAsia="Calibri"/>
                <w:b/>
              </w:rPr>
            </w:pPr>
            <w:r>
              <w:rPr>
                <w:rFonts w:eastAsia="Calibri"/>
                <w:b/>
              </w:rPr>
              <w:t>13-14</w:t>
            </w:r>
          </w:p>
        </w:tc>
        <w:tc>
          <w:tcPr>
            <w:tcW w:w="2093" w:type="dxa"/>
            <w:gridSpan w:val="2"/>
          </w:tcPr>
          <w:p w14:paraId="6B22194A">
            <w:pPr>
              <w:ind w:left="142"/>
              <w:rPr>
                <w:rFonts w:eastAsia="Calibri"/>
              </w:rPr>
            </w:pPr>
            <w:r>
              <w:t>Penyusunan laporan analisis risiko</w:t>
            </w:r>
          </w:p>
        </w:tc>
        <w:tc>
          <w:tcPr>
            <w:tcW w:w="1700" w:type="dxa"/>
            <w:gridSpan w:val="2"/>
          </w:tcPr>
          <w:p w14:paraId="163114B6">
            <w:pPr>
              <w:rPr>
                <w:rFonts w:eastAsia="Calibri"/>
                <w:b/>
              </w:rPr>
            </w:pPr>
            <w:r>
              <w:t>Membuat laporan analisis risiko.</w:t>
            </w:r>
          </w:p>
        </w:tc>
        <w:tc>
          <w:tcPr>
            <w:tcW w:w="2124" w:type="dxa"/>
            <w:gridSpan w:val="2"/>
          </w:tcPr>
          <w:p w14:paraId="73F44216">
            <w:pPr>
              <w:rPr>
                <w:rFonts w:eastAsia="Calibri"/>
                <w:b/>
              </w:rPr>
            </w:pPr>
          </w:p>
        </w:tc>
        <w:tc>
          <w:tcPr>
            <w:tcW w:w="1703" w:type="dxa"/>
            <w:gridSpan w:val="3"/>
          </w:tcPr>
          <w:p w14:paraId="7C983A21">
            <w:pPr>
              <w:rPr>
                <w:rFonts w:eastAsia="Calibri"/>
                <w:b/>
              </w:rPr>
            </w:pPr>
            <w:r>
              <w:t>Kerja kelompok</w:t>
            </w:r>
          </w:p>
        </w:tc>
        <w:tc>
          <w:tcPr>
            <w:tcW w:w="1855" w:type="dxa"/>
            <w:gridSpan w:val="3"/>
          </w:tcPr>
          <w:p w14:paraId="76FAF2CE">
            <w:pPr>
              <w:rPr>
                <w:rFonts w:eastAsia="Calibri"/>
                <w:b/>
              </w:rPr>
            </w:pPr>
          </w:p>
        </w:tc>
        <w:tc>
          <w:tcPr>
            <w:tcW w:w="1559" w:type="dxa"/>
            <w:gridSpan w:val="2"/>
          </w:tcPr>
          <w:p w14:paraId="1441BB8E">
            <w:pPr>
              <w:rPr>
                <w:rFonts w:eastAsia="Calibri"/>
                <w:b/>
              </w:rPr>
            </w:pPr>
            <w:r>
              <w:t>Analisis kasus nyata</w:t>
            </w:r>
          </w:p>
        </w:tc>
        <w:tc>
          <w:tcPr>
            <w:tcW w:w="1140" w:type="dxa"/>
          </w:tcPr>
          <w:p w14:paraId="38C4EDA9">
            <w:pPr>
              <w:jc w:val="center"/>
              <w:rPr>
                <w:rFonts w:eastAsia="Calibri"/>
                <w:b/>
              </w:rPr>
            </w:pPr>
            <w:r>
              <w:rPr>
                <w:rFonts w:eastAsia="Calibri"/>
                <w:b/>
              </w:rPr>
              <w:t>5%</w:t>
            </w:r>
          </w:p>
        </w:tc>
      </w:tr>
      <w:tr w14:paraId="47CB2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tcPr>
          <w:p w14:paraId="1DC4D8B2">
            <w:pPr>
              <w:ind w:left="-90" w:right="-108"/>
              <w:jc w:val="center"/>
              <w:rPr>
                <w:rFonts w:eastAsia="Calibri"/>
                <w:b/>
              </w:rPr>
            </w:pPr>
            <w:r>
              <w:rPr>
                <w:rFonts w:eastAsia="Calibri"/>
                <w:b/>
              </w:rPr>
              <w:t>15</w:t>
            </w:r>
          </w:p>
        </w:tc>
        <w:tc>
          <w:tcPr>
            <w:tcW w:w="2093" w:type="dxa"/>
            <w:gridSpan w:val="2"/>
          </w:tcPr>
          <w:p w14:paraId="23B9DC90">
            <w:pPr>
              <w:ind w:left="142"/>
              <w:rPr>
                <w:rFonts w:eastAsia="Calibri"/>
              </w:rPr>
            </w:pPr>
            <w:r>
              <w:t>Presentasi &amp; evaluasi</w:t>
            </w:r>
          </w:p>
        </w:tc>
        <w:tc>
          <w:tcPr>
            <w:tcW w:w="1700" w:type="dxa"/>
            <w:gridSpan w:val="2"/>
          </w:tcPr>
          <w:p w14:paraId="2C4F471F">
            <w:pPr>
              <w:rPr>
                <w:rFonts w:eastAsia="Calibri"/>
                <w:b/>
              </w:rPr>
            </w:pPr>
            <w:r>
              <w:t>- Menunjukkan etika &amp; profesionalisme.</w:t>
            </w:r>
            <w:r>
              <w:br w:type="textWrapping"/>
            </w:r>
            <w:r>
              <w:t>- Aktif berpartisipasi, menghargai pendapat.</w:t>
            </w:r>
            <w:r>
              <w:br w:type="textWrapping"/>
            </w:r>
            <w:r>
              <w:t>- Bekerja sama dalam kelompok.</w:t>
            </w:r>
          </w:p>
        </w:tc>
        <w:tc>
          <w:tcPr>
            <w:tcW w:w="2124" w:type="dxa"/>
            <w:gridSpan w:val="2"/>
          </w:tcPr>
          <w:p w14:paraId="78683CAF">
            <w:pPr>
              <w:rPr>
                <w:rFonts w:eastAsia="Calibri"/>
                <w:b/>
              </w:rPr>
            </w:pPr>
          </w:p>
        </w:tc>
        <w:tc>
          <w:tcPr>
            <w:tcW w:w="1703" w:type="dxa"/>
            <w:gridSpan w:val="3"/>
          </w:tcPr>
          <w:p w14:paraId="51ED1044">
            <w:pPr>
              <w:rPr>
                <w:rFonts w:eastAsia="Calibri"/>
                <w:b/>
              </w:rPr>
            </w:pPr>
            <w:r>
              <w:t>Presentasi kelompok</w:t>
            </w:r>
          </w:p>
        </w:tc>
        <w:tc>
          <w:tcPr>
            <w:tcW w:w="1855" w:type="dxa"/>
            <w:gridSpan w:val="3"/>
          </w:tcPr>
          <w:p w14:paraId="0E95E2F0">
            <w:pPr>
              <w:rPr>
                <w:rFonts w:eastAsia="Calibri"/>
                <w:b/>
              </w:rPr>
            </w:pPr>
          </w:p>
        </w:tc>
        <w:tc>
          <w:tcPr>
            <w:tcW w:w="1559" w:type="dxa"/>
            <w:gridSpan w:val="2"/>
          </w:tcPr>
          <w:p w14:paraId="272FC9AF">
            <w:pPr>
              <w:rPr>
                <w:rFonts w:eastAsia="Calibri"/>
                <w:b/>
              </w:rPr>
            </w:pPr>
            <w:r>
              <w:t>Presentasi hasil analisis</w:t>
            </w:r>
          </w:p>
        </w:tc>
        <w:tc>
          <w:tcPr>
            <w:tcW w:w="1140" w:type="dxa"/>
          </w:tcPr>
          <w:p w14:paraId="6F5916C3">
            <w:pPr>
              <w:jc w:val="center"/>
              <w:rPr>
                <w:rFonts w:eastAsia="Calibri"/>
                <w:b/>
              </w:rPr>
            </w:pPr>
            <w:r>
              <w:rPr>
                <w:rFonts w:eastAsia="Calibri"/>
                <w:b/>
              </w:rPr>
              <w:t>5%</w:t>
            </w:r>
          </w:p>
        </w:tc>
      </w:tr>
      <w:tr w14:paraId="7D27D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2" w:type="dxa"/>
          </w:tcPr>
          <w:p w14:paraId="06FC1879">
            <w:pPr>
              <w:ind w:left="-90" w:right="-108"/>
              <w:jc w:val="center"/>
              <w:rPr>
                <w:rFonts w:eastAsia="Calibri"/>
                <w:b/>
              </w:rPr>
            </w:pPr>
            <w:r>
              <w:rPr>
                <w:rFonts w:eastAsia="Calibri"/>
                <w:b/>
              </w:rPr>
              <w:t>16</w:t>
            </w:r>
          </w:p>
        </w:tc>
        <w:tc>
          <w:tcPr>
            <w:tcW w:w="2093" w:type="dxa"/>
            <w:gridSpan w:val="2"/>
          </w:tcPr>
          <w:p w14:paraId="10438BA3">
            <w:pPr>
              <w:ind w:left="142"/>
              <w:rPr>
                <w:rFonts w:eastAsia="Calibri"/>
              </w:rPr>
            </w:pPr>
            <w:r>
              <w:rPr>
                <w:rFonts w:eastAsia="Calibri"/>
              </w:rPr>
              <w:t>UAS</w:t>
            </w:r>
          </w:p>
        </w:tc>
        <w:tc>
          <w:tcPr>
            <w:tcW w:w="1700" w:type="dxa"/>
            <w:gridSpan w:val="2"/>
          </w:tcPr>
          <w:p w14:paraId="0A50B01A">
            <w:pPr>
              <w:rPr>
                <w:rFonts w:eastAsia="Calibri"/>
                <w:b/>
              </w:rPr>
            </w:pPr>
            <w:r>
              <w:t>Komprehensif teori &amp; aplikasi</w:t>
            </w:r>
          </w:p>
        </w:tc>
        <w:tc>
          <w:tcPr>
            <w:tcW w:w="2124" w:type="dxa"/>
            <w:gridSpan w:val="2"/>
          </w:tcPr>
          <w:p w14:paraId="54809EA6">
            <w:pPr>
              <w:rPr>
                <w:rFonts w:eastAsia="Calibri"/>
                <w:b/>
              </w:rPr>
            </w:pPr>
          </w:p>
        </w:tc>
        <w:tc>
          <w:tcPr>
            <w:tcW w:w="1703" w:type="dxa"/>
            <w:gridSpan w:val="3"/>
          </w:tcPr>
          <w:p w14:paraId="655331E6">
            <w:pPr>
              <w:rPr>
                <w:rFonts w:eastAsia="Calibri"/>
                <w:b/>
              </w:rPr>
            </w:pPr>
            <w:r>
              <w:t>Tes tulis / studi kasus</w:t>
            </w:r>
          </w:p>
        </w:tc>
        <w:tc>
          <w:tcPr>
            <w:tcW w:w="1855" w:type="dxa"/>
            <w:gridSpan w:val="3"/>
          </w:tcPr>
          <w:p w14:paraId="43AE3E77">
            <w:pPr>
              <w:rPr>
                <w:rFonts w:eastAsia="Calibri"/>
                <w:b/>
              </w:rPr>
            </w:pPr>
          </w:p>
        </w:tc>
        <w:tc>
          <w:tcPr>
            <w:tcW w:w="1559" w:type="dxa"/>
            <w:gridSpan w:val="2"/>
          </w:tcPr>
          <w:p w14:paraId="0E9F2304">
            <w:pPr>
              <w:rPr>
                <w:rFonts w:eastAsia="Calibri"/>
                <w:b/>
              </w:rPr>
            </w:pPr>
            <w:r>
              <w:t>Ujian akhir</w:t>
            </w:r>
          </w:p>
        </w:tc>
        <w:tc>
          <w:tcPr>
            <w:tcW w:w="1140" w:type="dxa"/>
          </w:tcPr>
          <w:p w14:paraId="0A0F0462">
            <w:pPr>
              <w:jc w:val="center"/>
              <w:rPr>
                <w:rFonts w:eastAsia="Calibri"/>
                <w:b/>
              </w:rPr>
            </w:pPr>
            <w:r>
              <w:rPr>
                <w:rFonts w:eastAsia="Calibri"/>
                <w:b/>
              </w:rPr>
              <w:t>20%</w:t>
            </w:r>
          </w:p>
        </w:tc>
      </w:tr>
    </w:tbl>
    <w:p w14:paraId="5F5B7CC9">
      <w:pPr>
        <w:tabs>
          <w:tab w:val="left" w:pos="900"/>
          <w:tab w:val="left" w:pos="5040"/>
          <w:tab w:val="left" w:pos="5400"/>
        </w:tabs>
        <w:rPr>
          <w:rFonts w:eastAsia="Calibri"/>
          <w:b/>
          <w:u w:val="single"/>
        </w:rPr>
      </w:pPr>
    </w:p>
    <w:p w14:paraId="53CF0FA6">
      <w:pPr>
        <w:tabs>
          <w:tab w:val="left" w:pos="900"/>
          <w:tab w:val="left" w:pos="5040"/>
          <w:tab w:val="left" w:pos="5400"/>
        </w:tabs>
        <w:rPr>
          <w:rFonts w:eastAsia="Calibri"/>
        </w:rPr>
      </w:pPr>
      <w:r>
        <w:rPr>
          <w:rFonts w:eastAsia="Calibri"/>
          <w:b/>
          <w:u w:val="single"/>
        </w:rPr>
        <w:t>Catatan</w:t>
      </w:r>
      <w:r>
        <w:rPr>
          <w:rFonts w:eastAsia="Calibri"/>
          <w:b/>
        </w:rPr>
        <w:t xml:space="preserve"> :</w:t>
      </w:r>
      <w:r>
        <w:rPr>
          <w:rFonts w:eastAsia="Calibri"/>
        </w:rPr>
        <w:t xml:space="preserve">   </w:t>
      </w:r>
    </w:p>
    <w:p w14:paraId="49982AF8">
      <w:pPr>
        <w:numPr>
          <w:ilvl w:val="0"/>
          <w:numId w:val="4"/>
        </w:numPr>
        <w:rPr>
          <w:rFonts w:eastAsia="Calibri"/>
          <w:sz w:val="22"/>
          <w:szCs w:val="22"/>
        </w:rPr>
      </w:pPr>
      <w:r>
        <w:rPr>
          <w:rFonts w:eastAsia="Calibri"/>
          <w:b/>
          <w:sz w:val="22"/>
          <w:szCs w:val="22"/>
        </w:rPr>
        <w:t>Capaian Pembelajaran Lulusan PRODI (CPL-PRODI)</w:t>
      </w:r>
      <w:r>
        <w:rPr>
          <w:rFonts w:eastAsia="Calibri"/>
          <w:sz w:val="22"/>
          <w:szCs w:val="22"/>
        </w:rPr>
        <w:t xml:space="preserve"> adalah kemampuan yang dimiliki oleh setiap lulusan PRODI yang merupakan internalisasi dari sikap, penguasaan pengetahuan dan ketrampilan sesuai dengan jenjang prodinya yang diperoleh melalui proses pembelajaran.</w:t>
      </w:r>
    </w:p>
    <w:p w14:paraId="6DB559DC">
      <w:pPr>
        <w:numPr>
          <w:ilvl w:val="0"/>
          <w:numId w:val="4"/>
        </w:numPr>
        <w:ind w:left="709" w:hanging="425"/>
        <w:rPr>
          <w:rFonts w:eastAsia="Calibri"/>
          <w:sz w:val="22"/>
          <w:szCs w:val="22"/>
        </w:rPr>
      </w:pPr>
      <w:r>
        <w:rPr>
          <w:rFonts w:eastAsia="Calibri"/>
          <w:b/>
          <w:sz w:val="22"/>
          <w:szCs w:val="22"/>
        </w:rPr>
        <w:t>CPL yang dibebankan pada mata kuliah</w:t>
      </w:r>
      <w:r>
        <w:rPr>
          <w:rFonts w:eastAsia="Calibri"/>
          <w:sz w:val="22"/>
          <w:szCs w:val="22"/>
        </w:rPr>
        <w:t xml:space="preserve"> adalah beberapa capaian pembelajaran lulusan program studi (CPL-PRODI) yang digunakan untuk pembentukan/pengembangan sebuah mata kuliah yang terdiri dari aspek sikap, ketrampulan umum, ketrampilan khusus dan pengetahuan.</w:t>
      </w:r>
    </w:p>
    <w:p w14:paraId="61455118">
      <w:pPr>
        <w:numPr>
          <w:ilvl w:val="0"/>
          <w:numId w:val="4"/>
        </w:numPr>
        <w:ind w:left="709" w:hanging="425"/>
        <w:rPr>
          <w:rFonts w:eastAsia="Calibri"/>
          <w:sz w:val="22"/>
          <w:szCs w:val="22"/>
        </w:rPr>
      </w:pPr>
      <w:r>
        <w:rPr>
          <w:rFonts w:eastAsia="Calibri"/>
          <w:b/>
          <w:sz w:val="22"/>
          <w:szCs w:val="22"/>
        </w:rPr>
        <w:t>CP Mata kuliah (CPMK)</w:t>
      </w:r>
      <w:r>
        <w:rPr>
          <w:rFonts w:eastAsia="Calibri"/>
          <w:sz w:val="22"/>
          <w:szCs w:val="22"/>
        </w:rPr>
        <w:t xml:space="preserve"> adalah kemampuan yang dijabarkan secara spesifik dari CPL yang dibebankan pada mata kuliah, dan bersifat spesifik terhadap bahan kajian atau materi pembelajaran mata kuliah tersebut.</w:t>
      </w:r>
    </w:p>
    <w:p w14:paraId="3B44EF71">
      <w:pPr>
        <w:numPr>
          <w:ilvl w:val="0"/>
          <w:numId w:val="4"/>
        </w:numPr>
        <w:ind w:left="709" w:hanging="425"/>
        <w:rPr>
          <w:rFonts w:eastAsia="Calibri"/>
          <w:sz w:val="22"/>
          <w:szCs w:val="22"/>
        </w:rPr>
      </w:pPr>
      <w:r>
        <w:rPr>
          <w:rFonts w:eastAsia="Calibri"/>
          <w:b/>
          <w:sz w:val="22"/>
          <w:szCs w:val="22"/>
        </w:rPr>
        <w:t>Sub-CP Mata kuliah (Sub-CPMK)</w:t>
      </w:r>
      <w:r>
        <w:rPr>
          <w:rFonts w:eastAsia="Calibri"/>
          <w:sz w:val="22"/>
          <w:szCs w:val="22"/>
        </w:rPr>
        <w:t xml:space="preserve"> adalah kemampuan yang dijabarkan secara spesifik dari CPMK yang dapat diukur atau diamati dan merupakan kemampuan akhir yang direncanakan pada tiap tahap pembelajaran, dan bersifat spesifik terhadap materi pembelajaran mata kuliah tersebut.</w:t>
      </w:r>
    </w:p>
    <w:p w14:paraId="5EA2A734">
      <w:pPr>
        <w:numPr>
          <w:ilvl w:val="0"/>
          <w:numId w:val="4"/>
        </w:numPr>
        <w:ind w:left="709" w:hanging="425"/>
        <w:rPr>
          <w:rFonts w:eastAsia="Calibri"/>
          <w:sz w:val="22"/>
          <w:szCs w:val="22"/>
        </w:rPr>
      </w:pPr>
      <w:r>
        <w:rPr>
          <w:rFonts w:eastAsia="Calibri"/>
          <w:b/>
          <w:sz w:val="22"/>
          <w:szCs w:val="22"/>
        </w:rPr>
        <w:t>Indikator penilaian</w:t>
      </w:r>
      <w:r>
        <w:rPr>
          <w:rFonts w:eastAsia="Calibri"/>
          <w:sz w:val="22"/>
          <w:szCs w:val="22"/>
        </w:rPr>
        <w:t xml:space="preserve"> kemampuan dalam proses maupun hasil belajar mahasiswa adalah pernyataan spesifik dan terukur yang mengidentifikasi kemampuan atau kinerja hasil belajar mahasiswa yang disertai bukti-bukti.</w:t>
      </w:r>
    </w:p>
    <w:p w14:paraId="20F557F9">
      <w:pPr>
        <w:numPr>
          <w:ilvl w:val="0"/>
          <w:numId w:val="4"/>
        </w:numPr>
        <w:ind w:left="709" w:hanging="425"/>
        <w:rPr>
          <w:rFonts w:eastAsia="Calibri"/>
          <w:sz w:val="22"/>
          <w:szCs w:val="22"/>
        </w:rPr>
      </w:pPr>
      <w:r>
        <w:rPr>
          <w:rFonts w:eastAsia="Calibri"/>
          <w:b/>
          <w:sz w:val="22"/>
          <w:szCs w:val="22"/>
        </w:rPr>
        <w:t>Kreteria Penilaian</w:t>
      </w:r>
      <w:r>
        <w:rPr>
          <w:rFonts w:eastAsia="Calibri"/>
          <w:sz w:val="22"/>
          <w:szCs w:val="22"/>
        </w:rPr>
        <w:t xml:space="preserve"> adalah patokan yang digunakan sebagai ukuran atau tolok ukur ketercapaian pembelajaran dalam penilaian berdasarkan indikator-indikator yang telah ditetapkan. </w:t>
      </w:r>
      <w:r>
        <w:rPr>
          <w:rFonts w:eastAsia="Calibri"/>
          <w:sz w:val="22"/>
          <w:szCs w:val="22"/>
          <w:lang w:val="sv-SE"/>
        </w:rPr>
        <w:t xml:space="preserve">Kreteria penilaian merupakan pedoman bagi penilai agar penilaian konsisten dan tidak bias. </w:t>
      </w:r>
      <w:r>
        <w:rPr>
          <w:rFonts w:eastAsia="Calibri"/>
          <w:sz w:val="22"/>
          <w:szCs w:val="22"/>
        </w:rPr>
        <w:t>Kreteria dapat berupa kuantitatif ataupun kualitatif.</w:t>
      </w:r>
    </w:p>
    <w:p w14:paraId="7F3CBC60">
      <w:pPr>
        <w:numPr>
          <w:ilvl w:val="0"/>
          <w:numId w:val="4"/>
        </w:numPr>
        <w:ind w:left="709" w:hanging="425"/>
        <w:rPr>
          <w:rFonts w:eastAsia="Calibri"/>
          <w:sz w:val="22"/>
          <w:szCs w:val="22"/>
        </w:rPr>
      </w:pPr>
      <w:r>
        <w:rPr>
          <w:rFonts w:eastAsia="Calibri"/>
          <w:b/>
          <w:sz w:val="22"/>
          <w:szCs w:val="22"/>
        </w:rPr>
        <w:t xml:space="preserve">Bentuk penilaian: </w:t>
      </w:r>
      <w:r>
        <w:rPr>
          <w:rFonts w:eastAsia="Calibri"/>
          <w:sz w:val="22"/>
          <w:szCs w:val="22"/>
        </w:rPr>
        <w:t>tes dan non-tes.</w:t>
      </w:r>
    </w:p>
    <w:p w14:paraId="5813B5AB">
      <w:pPr>
        <w:numPr>
          <w:ilvl w:val="0"/>
          <w:numId w:val="4"/>
        </w:numPr>
        <w:ind w:left="709" w:hanging="425"/>
        <w:rPr>
          <w:rFonts w:eastAsia="Calibri"/>
          <w:sz w:val="22"/>
          <w:szCs w:val="22"/>
          <w:lang w:val="sv-SE"/>
        </w:rPr>
      </w:pPr>
      <w:r>
        <w:rPr>
          <w:rFonts w:eastAsia="Calibri"/>
          <w:b/>
          <w:sz w:val="22"/>
          <w:szCs w:val="22"/>
          <w:lang w:val="sv-SE"/>
        </w:rPr>
        <w:t>Bentuk pembelajaran:</w:t>
      </w:r>
      <w:r>
        <w:rPr>
          <w:rFonts w:eastAsia="Calibri"/>
          <w:sz w:val="22"/>
          <w:szCs w:val="22"/>
          <w:lang w:val="sv-SE"/>
        </w:rPr>
        <w:t xml:space="preserve"> Kuliah, Responsi, Tutorial, Seminar atau yang setara, Praktikum, Praktik Studio, Praktik Bengkel, Praktik Lapangan, Penelitian, Pengabdian Kepada Masyarakat dan/atau bentuk pembelajaran lain yang setara.</w:t>
      </w:r>
    </w:p>
    <w:p w14:paraId="072D58A3">
      <w:pPr>
        <w:numPr>
          <w:ilvl w:val="0"/>
          <w:numId w:val="4"/>
        </w:numPr>
        <w:ind w:left="709" w:hanging="425"/>
        <w:rPr>
          <w:rFonts w:eastAsia="Calibri"/>
          <w:sz w:val="22"/>
          <w:szCs w:val="22"/>
        </w:rPr>
      </w:pPr>
      <w:r>
        <w:rPr>
          <w:rFonts w:eastAsia="Calibri"/>
          <w:b/>
          <w:sz w:val="22"/>
          <w:szCs w:val="22"/>
        </w:rPr>
        <w:t>Metode Pembelajaran:</w:t>
      </w:r>
      <w:r>
        <w:rPr>
          <w:rFonts w:eastAsia="Calibri"/>
          <w:sz w:val="22"/>
          <w:szCs w:val="22"/>
        </w:rPr>
        <w:t xml:space="preserve"> Small Group Discussion, Role-Play &amp; Simulation, Discovery Learning, Self-Directed Learning, Cooperative Learning, Collaborative Learning, Contextual Learning, Project Based Learning, dan metode lainnya yg setara.</w:t>
      </w:r>
    </w:p>
    <w:p w14:paraId="71AE0DD3">
      <w:pPr>
        <w:numPr>
          <w:ilvl w:val="0"/>
          <w:numId w:val="4"/>
        </w:numPr>
        <w:ind w:left="709" w:hanging="425"/>
        <w:rPr>
          <w:rFonts w:eastAsia="Calibri"/>
          <w:sz w:val="22"/>
          <w:szCs w:val="22"/>
        </w:rPr>
      </w:pPr>
      <w:r>
        <w:rPr>
          <w:rFonts w:eastAsia="Calibri"/>
          <w:b/>
          <w:sz w:val="22"/>
          <w:szCs w:val="22"/>
        </w:rPr>
        <w:t xml:space="preserve">Materi Pembelajaran </w:t>
      </w:r>
      <w:r>
        <w:rPr>
          <w:rFonts w:eastAsia="Calibri"/>
          <w:sz w:val="22"/>
          <w:szCs w:val="22"/>
        </w:rPr>
        <w:t>adalah rincian atau uraian dari bahan kajian yg dapat disajikan dalam bentuk beberapa pokok dan sub-pokok bahasan.</w:t>
      </w:r>
    </w:p>
    <w:p w14:paraId="3D5542BA">
      <w:pPr>
        <w:numPr>
          <w:ilvl w:val="0"/>
          <w:numId w:val="4"/>
        </w:numPr>
        <w:ind w:left="709" w:hanging="425"/>
        <w:rPr>
          <w:rFonts w:eastAsia="Calibri"/>
          <w:sz w:val="22"/>
          <w:szCs w:val="22"/>
        </w:rPr>
      </w:pPr>
      <w:r>
        <w:rPr>
          <w:rFonts w:eastAsia="Calibri"/>
          <w:b/>
          <w:sz w:val="22"/>
          <w:szCs w:val="22"/>
        </w:rPr>
        <w:t>Bobot penilaian</w:t>
      </w:r>
      <w:r>
        <w:rPr>
          <w:rFonts w:eastAsia="Calibri"/>
          <w:sz w:val="22"/>
          <w:szCs w:val="22"/>
        </w:rPr>
        <w:t xml:space="preserve"> adalah prosentasi penilaian terhadap setiap pencapaian sub-CPMK yang besarnya proposional dengan tingkat kesulitan pencapaian sub-CPMK tsb., dan totalnya 100%.</w:t>
      </w:r>
    </w:p>
    <w:p w14:paraId="0AEDA2C7">
      <w:pPr>
        <w:numPr>
          <w:ilvl w:val="0"/>
          <w:numId w:val="4"/>
        </w:numPr>
        <w:ind w:left="709" w:hanging="425"/>
        <w:rPr>
          <w:rFonts w:eastAsia="Calibri"/>
          <w:sz w:val="22"/>
          <w:szCs w:val="22"/>
          <w:lang w:val="sv-SE"/>
        </w:rPr>
      </w:pPr>
      <w:r>
        <w:rPr>
          <w:rFonts w:eastAsia="Calibri"/>
          <w:sz w:val="22"/>
          <w:szCs w:val="22"/>
          <w:lang w:val="sv-SE"/>
        </w:rPr>
        <w:t>TM=Tatap Muka, PT=Penugasan terstruktur, BM=Belajar mandiri.</w:t>
      </w:r>
    </w:p>
    <w:p w14:paraId="598A7187">
      <w:pPr>
        <w:ind w:left="284"/>
        <w:rPr>
          <w:rFonts w:eastAsia="Calibri"/>
          <w:sz w:val="22"/>
          <w:szCs w:val="22"/>
          <w:lang w:val="sv-SE"/>
        </w:rPr>
      </w:pPr>
    </w:p>
    <w:p w14:paraId="2F321B97">
      <w:pPr>
        <w:rPr>
          <w:rFonts w:eastAsia="Calibri"/>
          <w:sz w:val="22"/>
          <w:szCs w:val="22"/>
          <w:lang w:val="sv-SE"/>
        </w:rPr>
      </w:pPr>
    </w:p>
    <w:p w14:paraId="305937A3"/>
    <w:sectPr>
      <w:pgSz w:w="15840" w:h="12240" w:orient="landscape"/>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Symbol">
    <w:panose1 w:val="020B0502040204020203"/>
    <w:charset w:val="00"/>
    <w:family w:val="swiss"/>
    <w:pitch w:val="default"/>
    <w:sig w:usb0="800001E3" w:usb1="1200FFEF" w:usb2="00040000" w:usb3="04000000" w:csb0="00000001" w:csb1="40000000"/>
  </w:font>
  <w:font w:name="Trebuchet MS">
    <w:panose1 w:val="020B0603020202020204"/>
    <w:charset w:val="00"/>
    <w:family w:val="swiss"/>
    <w:pitch w:val="default"/>
    <w:sig w:usb0="000006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decimal"/>
      <w:lvlText w:val="%1."/>
      <w:lvlJc w:val="left"/>
      <w:pPr>
        <w:ind w:left="360" w:hanging="360"/>
      </w:pPr>
      <w:rPr>
        <w:rFonts w:hint="default"/>
      </w:rPr>
    </w:lvl>
  </w:abstractNum>
  <w:abstractNum w:abstractNumId="1">
    <w:nsid w:val="31583AEC"/>
    <w:multiLevelType w:val="multilevel"/>
    <w:tmpl w:val="31583AEC"/>
    <w:lvl w:ilvl="0" w:tentative="0">
      <w:start w:val="1"/>
      <w:numFmt w:val="decimal"/>
      <w:lvlText w:val="%1."/>
      <w:lvlJc w:val="left"/>
      <w:pPr>
        <w:ind w:left="770" w:hanging="360"/>
      </w:pPr>
    </w:lvl>
    <w:lvl w:ilvl="1" w:tentative="0">
      <w:start w:val="1"/>
      <w:numFmt w:val="lowerLetter"/>
      <w:lvlText w:val="%2."/>
      <w:lvlJc w:val="left"/>
      <w:pPr>
        <w:ind w:left="1490" w:hanging="360"/>
      </w:pPr>
    </w:lvl>
    <w:lvl w:ilvl="2" w:tentative="0">
      <w:start w:val="1"/>
      <w:numFmt w:val="lowerRoman"/>
      <w:lvlText w:val="%3."/>
      <w:lvlJc w:val="right"/>
      <w:pPr>
        <w:ind w:left="2210" w:hanging="180"/>
      </w:pPr>
    </w:lvl>
    <w:lvl w:ilvl="3" w:tentative="0">
      <w:start w:val="1"/>
      <w:numFmt w:val="decimal"/>
      <w:lvlText w:val="%4."/>
      <w:lvlJc w:val="left"/>
      <w:pPr>
        <w:ind w:left="2930" w:hanging="360"/>
      </w:pPr>
    </w:lvl>
    <w:lvl w:ilvl="4" w:tentative="0">
      <w:start w:val="1"/>
      <w:numFmt w:val="lowerLetter"/>
      <w:lvlText w:val="%5."/>
      <w:lvlJc w:val="left"/>
      <w:pPr>
        <w:ind w:left="3650" w:hanging="360"/>
      </w:pPr>
    </w:lvl>
    <w:lvl w:ilvl="5" w:tentative="0">
      <w:start w:val="1"/>
      <w:numFmt w:val="lowerRoman"/>
      <w:lvlText w:val="%6."/>
      <w:lvlJc w:val="right"/>
      <w:pPr>
        <w:ind w:left="4370" w:hanging="180"/>
      </w:pPr>
    </w:lvl>
    <w:lvl w:ilvl="6" w:tentative="0">
      <w:start w:val="1"/>
      <w:numFmt w:val="decimal"/>
      <w:lvlText w:val="%7."/>
      <w:lvlJc w:val="left"/>
      <w:pPr>
        <w:ind w:left="5090" w:hanging="360"/>
      </w:pPr>
    </w:lvl>
    <w:lvl w:ilvl="7" w:tentative="0">
      <w:start w:val="1"/>
      <w:numFmt w:val="lowerLetter"/>
      <w:lvlText w:val="%8."/>
      <w:lvlJc w:val="left"/>
      <w:pPr>
        <w:ind w:left="5810" w:hanging="360"/>
      </w:pPr>
    </w:lvl>
    <w:lvl w:ilvl="8" w:tentative="0">
      <w:start w:val="1"/>
      <w:numFmt w:val="lowerRoman"/>
      <w:lvlText w:val="%9."/>
      <w:lvlJc w:val="right"/>
      <w:pPr>
        <w:ind w:left="6530" w:hanging="180"/>
      </w:pPr>
    </w:lvl>
  </w:abstractNum>
  <w:abstractNum w:abstractNumId="2">
    <w:nsid w:val="373474ED"/>
    <w:multiLevelType w:val="multilevel"/>
    <w:tmpl w:val="373474E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73D870CB"/>
    <w:multiLevelType w:val="multilevel"/>
    <w:tmpl w:val="73D870CB"/>
    <w:lvl w:ilvl="0" w:tentative="0">
      <w:start w:val="1"/>
      <w:numFmt w:val="decimal"/>
      <w:lvlText w:val="%1."/>
      <w:lvlJc w:val="left"/>
      <w:pPr>
        <w:ind w:left="720" w:hanging="360"/>
      </w:pPr>
      <w:rPr>
        <w:rFonts w:hint="default" w:eastAsia="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3EF"/>
    <w:rsid w:val="00092236"/>
    <w:rsid w:val="000965B5"/>
    <w:rsid w:val="00133B1E"/>
    <w:rsid w:val="00153D34"/>
    <w:rsid w:val="00155DB4"/>
    <w:rsid w:val="001C62EB"/>
    <w:rsid w:val="00226CD0"/>
    <w:rsid w:val="002F1E45"/>
    <w:rsid w:val="00323683"/>
    <w:rsid w:val="003717EB"/>
    <w:rsid w:val="003F136A"/>
    <w:rsid w:val="0056284D"/>
    <w:rsid w:val="007835C6"/>
    <w:rsid w:val="007A43A6"/>
    <w:rsid w:val="008010B3"/>
    <w:rsid w:val="0083313E"/>
    <w:rsid w:val="00851538"/>
    <w:rsid w:val="00871553"/>
    <w:rsid w:val="008B6B0F"/>
    <w:rsid w:val="009C0AAF"/>
    <w:rsid w:val="00A661BF"/>
    <w:rsid w:val="00A778DF"/>
    <w:rsid w:val="00AB6B8A"/>
    <w:rsid w:val="00BB2DC4"/>
    <w:rsid w:val="00BD34C8"/>
    <w:rsid w:val="00CB78C4"/>
    <w:rsid w:val="00D075BD"/>
    <w:rsid w:val="00D60BD0"/>
    <w:rsid w:val="00E461E8"/>
    <w:rsid w:val="00E646B7"/>
    <w:rsid w:val="00F66215"/>
    <w:rsid w:val="00FB03EF"/>
    <w:rsid w:val="5DD80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kern w:val="0"/>
      <w:sz w:val="20"/>
      <w:szCs w:val="20"/>
      <w:lang w:val="en-US" w:eastAsia="en-US" w:bidi="ar-SA"/>
      <w14:ligatures w14:val="none"/>
    </w:rPr>
  </w:style>
  <w:style w:type="paragraph" w:styleId="2">
    <w:name w:val="heading 1"/>
    <w:basedOn w:val="1"/>
    <w:next w:val="1"/>
    <w:link w:val="18"/>
    <w:qFormat/>
    <w:uiPriority w:val="9"/>
    <w:pPr>
      <w:keepNext/>
      <w:keepLines/>
      <w:spacing w:before="360" w:after="80"/>
      <w:outlineLvl w:val="0"/>
    </w:pPr>
    <w:rPr>
      <w:rFonts w:asciiTheme="majorHAnsi" w:hAnsiTheme="majorHAnsi" w:eastAsiaTheme="majorEastAsia" w:cstheme="majorBidi"/>
      <w:color w:val="376092" w:themeColor="accent1" w:themeShade="BF"/>
      <w:sz w:val="40"/>
      <w:szCs w:val="40"/>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376092" w:themeColor="accent1" w:themeShade="BF"/>
      <w:sz w:val="32"/>
      <w:szCs w:val="32"/>
    </w:rPr>
  </w:style>
  <w:style w:type="paragraph" w:styleId="4">
    <w:name w:val="heading 3"/>
    <w:basedOn w:val="1"/>
    <w:next w:val="1"/>
    <w:link w:val="20"/>
    <w:semiHidden/>
    <w:unhideWhenUsed/>
    <w:qFormat/>
    <w:uiPriority w:val="9"/>
    <w:pPr>
      <w:keepNext/>
      <w:keepLines/>
      <w:spacing w:before="160" w:after="80"/>
      <w:outlineLvl w:val="2"/>
    </w:pPr>
    <w:rPr>
      <w:rFonts w:eastAsiaTheme="majorEastAsia" w:cstheme="majorBidi"/>
      <w:color w:val="376092" w:themeColor="accent1" w:themeShade="BF"/>
      <w:sz w:val="28"/>
      <w:szCs w:val="28"/>
    </w:rPr>
  </w:style>
  <w:style w:type="paragraph" w:styleId="5">
    <w:name w:val="heading 4"/>
    <w:basedOn w:val="1"/>
    <w:next w:val="1"/>
    <w:link w:val="21"/>
    <w:semiHidden/>
    <w:unhideWhenUsed/>
    <w:qFormat/>
    <w:uiPriority w:val="9"/>
    <w:pPr>
      <w:keepNext/>
      <w:keepLines/>
      <w:spacing w:before="80" w:after="40"/>
      <w:outlineLvl w:val="3"/>
    </w:pPr>
    <w:rPr>
      <w:rFonts w:eastAsiaTheme="majorEastAsia" w:cstheme="majorBidi"/>
      <w:i/>
      <w:iCs/>
      <w:color w:val="376092" w:themeColor="accent1" w:themeShade="BF"/>
    </w:rPr>
  </w:style>
  <w:style w:type="paragraph" w:styleId="6">
    <w:name w:val="heading 5"/>
    <w:basedOn w:val="1"/>
    <w:next w:val="1"/>
    <w:link w:val="22"/>
    <w:semiHidden/>
    <w:unhideWhenUsed/>
    <w:qFormat/>
    <w:uiPriority w:val="9"/>
    <w:pPr>
      <w:keepNext/>
      <w:keepLines/>
      <w:spacing w:before="80" w:after="40"/>
      <w:outlineLvl w:val="4"/>
    </w:pPr>
    <w:rPr>
      <w:rFonts w:eastAsiaTheme="majorEastAsia" w:cstheme="majorBidi"/>
      <w:color w:val="376092" w:themeColor="accent1" w:themeShade="BF"/>
    </w:rPr>
  </w:style>
  <w:style w:type="paragraph" w:styleId="7">
    <w:name w:val="heading 6"/>
    <w:basedOn w:val="1"/>
    <w:next w:val="1"/>
    <w:link w:val="23"/>
    <w:semiHidden/>
    <w:unhideWhenUsed/>
    <w:qFormat/>
    <w:uiPriority w:val="9"/>
    <w:pPr>
      <w:keepNext/>
      <w:keepLines/>
      <w:spacing w:before="4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4"/>
    <w:semiHidden/>
    <w:unhideWhenUsed/>
    <w:qFormat/>
    <w:uiPriority w:val="9"/>
    <w:pPr>
      <w:keepNext/>
      <w:keepLines/>
      <w:spacing w:before="4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qFormat/>
    <w:uiPriority w:val="20"/>
    <w:rPr>
      <w:i/>
      <w:iCs/>
    </w:rPr>
  </w:style>
  <w:style w:type="paragraph" w:styleId="14">
    <w:name w:val="List Bullet"/>
    <w:basedOn w:val="1"/>
    <w:unhideWhenUsed/>
    <w:uiPriority w:val="99"/>
    <w:pPr>
      <w:spacing w:after="200" w:line="276" w:lineRule="auto"/>
      <w:contextualSpacing/>
    </w:pPr>
    <w:rPr>
      <w:rFonts w:asciiTheme="minorHAnsi" w:hAnsiTheme="minorHAnsi" w:eastAsiaTheme="minorEastAsia" w:cstheme="minorBidi"/>
      <w:sz w:val="22"/>
      <w:szCs w:val="22"/>
    </w:rPr>
  </w:style>
  <w:style w:type="paragraph" w:styleId="15">
    <w:name w:val="Subtitle"/>
    <w:basedOn w:val="1"/>
    <w:next w:val="1"/>
    <w:link w:val="28"/>
    <w:qFormat/>
    <w:uiPriority w:val="11"/>
    <w:pPr>
      <w:spacing w:after="160"/>
    </w:pPr>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16">
    <w:name w:val="Table Grid"/>
    <w:basedOn w:val="12"/>
    <w:uiPriority w:val="59"/>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7">
    <w:name w:val="Title"/>
    <w:basedOn w:val="1"/>
    <w:next w:val="1"/>
    <w:link w:val="27"/>
    <w:qFormat/>
    <w:uiPriority w:val="10"/>
    <w:pPr>
      <w:spacing w:after="80"/>
      <w:contextualSpacing/>
    </w:pPr>
    <w:rPr>
      <w:rFonts w:asciiTheme="majorHAnsi" w:hAnsiTheme="majorHAnsi" w:eastAsiaTheme="majorEastAsia" w:cstheme="majorBidi"/>
      <w:spacing w:val="-10"/>
      <w:kern w:val="28"/>
      <w:sz w:val="56"/>
      <w:szCs w:val="56"/>
    </w:rPr>
  </w:style>
  <w:style w:type="character" w:customStyle="1" w:styleId="18">
    <w:name w:val="Heading 1 Char"/>
    <w:basedOn w:val="11"/>
    <w:link w:val="2"/>
    <w:qFormat/>
    <w:uiPriority w:val="9"/>
    <w:rPr>
      <w:rFonts w:asciiTheme="majorHAnsi" w:hAnsiTheme="majorHAnsi" w:eastAsiaTheme="majorEastAsia" w:cstheme="majorBidi"/>
      <w:color w:val="376092" w:themeColor="accent1" w:themeShade="BF"/>
      <w:sz w:val="40"/>
      <w:szCs w:val="40"/>
      <w:lang w:val="id-ID"/>
    </w:rPr>
  </w:style>
  <w:style w:type="character" w:customStyle="1" w:styleId="19">
    <w:name w:val="Heading 2 Char"/>
    <w:basedOn w:val="11"/>
    <w:link w:val="3"/>
    <w:semiHidden/>
    <w:uiPriority w:val="9"/>
    <w:rPr>
      <w:rFonts w:asciiTheme="majorHAnsi" w:hAnsiTheme="majorHAnsi" w:eastAsiaTheme="majorEastAsia" w:cstheme="majorBidi"/>
      <w:color w:val="376092" w:themeColor="accent1" w:themeShade="BF"/>
      <w:sz w:val="32"/>
      <w:szCs w:val="32"/>
      <w:lang w:val="id-ID"/>
    </w:rPr>
  </w:style>
  <w:style w:type="character" w:customStyle="1" w:styleId="20">
    <w:name w:val="Heading 3 Char"/>
    <w:basedOn w:val="11"/>
    <w:link w:val="4"/>
    <w:semiHidden/>
    <w:qFormat/>
    <w:uiPriority w:val="9"/>
    <w:rPr>
      <w:rFonts w:eastAsiaTheme="majorEastAsia" w:cstheme="majorBidi"/>
      <w:color w:val="376092" w:themeColor="accent1" w:themeShade="BF"/>
      <w:sz w:val="28"/>
      <w:szCs w:val="28"/>
      <w:lang w:val="id-ID"/>
    </w:rPr>
  </w:style>
  <w:style w:type="character" w:customStyle="1" w:styleId="21">
    <w:name w:val="Heading 4 Char"/>
    <w:basedOn w:val="11"/>
    <w:link w:val="5"/>
    <w:semiHidden/>
    <w:uiPriority w:val="9"/>
    <w:rPr>
      <w:rFonts w:eastAsiaTheme="majorEastAsia" w:cstheme="majorBidi"/>
      <w:i/>
      <w:iCs/>
      <w:color w:val="376092" w:themeColor="accent1" w:themeShade="BF"/>
      <w:lang w:val="id-ID"/>
    </w:rPr>
  </w:style>
  <w:style w:type="character" w:customStyle="1" w:styleId="22">
    <w:name w:val="Heading 5 Char"/>
    <w:basedOn w:val="11"/>
    <w:link w:val="6"/>
    <w:semiHidden/>
    <w:uiPriority w:val="9"/>
    <w:rPr>
      <w:rFonts w:eastAsiaTheme="majorEastAsia" w:cstheme="majorBidi"/>
      <w:color w:val="376092" w:themeColor="accent1" w:themeShade="BF"/>
      <w:lang w:val="id-ID"/>
    </w:rPr>
  </w:style>
  <w:style w:type="character" w:customStyle="1" w:styleId="23">
    <w:name w:val="Heading 6 Char"/>
    <w:basedOn w:val="11"/>
    <w:link w:val="7"/>
    <w:semiHidden/>
    <w:uiPriority w:val="9"/>
    <w:rPr>
      <w:rFonts w:eastAsiaTheme="majorEastAsia" w:cstheme="majorBidi"/>
      <w:i/>
      <w:iCs/>
      <w:color w:val="595959" w:themeColor="text1" w:themeTint="A6"/>
      <w:lang w:val="id-ID"/>
      <w14:textFill>
        <w14:solidFill>
          <w14:schemeClr w14:val="tx1">
            <w14:lumMod w14:val="65000"/>
            <w14:lumOff w14:val="35000"/>
          </w14:schemeClr>
        </w14:solidFill>
      </w14:textFill>
    </w:rPr>
  </w:style>
  <w:style w:type="character" w:customStyle="1" w:styleId="24">
    <w:name w:val="Heading 7 Char"/>
    <w:basedOn w:val="11"/>
    <w:link w:val="8"/>
    <w:semiHidden/>
    <w:uiPriority w:val="9"/>
    <w:rPr>
      <w:rFonts w:eastAsiaTheme="majorEastAsia" w:cstheme="majorBidi"/>
      <w:color w:val="595959" w:themeColor="text1" w:themeTint="A6"/>
      <w:lang w:val="id-ID"/>
      <w14:textFill>
        <w14:solidFill>
          <w14:schemeClr w14:val="tx1">
            <w14:lumMod w14:val="65000"/>
            <w14:lumOff w14:val="35000"/>
          </w14:schemeClr>
        </w14:solidFill>
      </w14:textFill>
    </w:rPr>
  </w:style>
  <w:style w:type="character" w:customStyle="1" w:styleId="25">
    <w:name w:val="Heading 8 Char"/>
    <w:basedOn w:val="11"/>
    <w:link w:val="9"/>
    <w:semiHidden/>
    <w:uiPriority w:val="9"/>
    <w:rPr>
      <w:rFonts w:eastAsiaTheme="majorEastAsia" w:cstheme="majorBidi"/>
      <w:i/>
      <w:iCs/>
      <w:color w:val="262626" w:themeColor="text1" w:themeTint="D9"/>
      <w:lang w:val="id-ID"/>
      <w14:textFill>
        <w14:solidFill>
          <w14:schemeClr w14:val="tx1">
            <w14:lumMod w14:val="85000"/>
            <w14:lumOff w14:val="15000"/>
          </w14:schemeClr>
        </w14:solidFill>
      </w14:textFill>
    </w:rPr>
  </w:style>
  <w:style w:type="character" w:customStyle="1" w:styleId="26">
    <w:name w:val="Heading 9 Char"/>
    <w:basedOn w:val="11"/>
    <w:link w:val="10"/>
    <w:semiHidden/>
    <w:uiPriority w:val="9"/>
    <w:rPr>
      <w:rFonts w:eastAsiaTheme="majorEastAsia" w:cstheme="majorBidi"/>
      <w:color w:val="262626" w:themeColor="text1" w:themeTint="D9"/>
      <w:lang w:val="id-ID"/>
      <w14:textFill>
        <w14:solidFill>
          <w14:schemeClr w14:val="tx1">
            <w14:lumMod w14:val="85000"/>
            <w14:lumOff w14:val="15000"/>
          </w14:schemeClr>
        </w14:solidFill>
      </w14:textFill>
    </w:rPr>
  </w:style>
  <w:style w:type="character" w:customStyle="1" w:styleId="27">
    <w:name w:val="Title Char"/>
    <w:basedOn w:val="11"/>
    <w:link w:val="17"/>
    <w:uiPriority w:val="10"/>
    <w:rPr>
      <w:rFonts w:asciiTheme="majorHAnsi" w:hAnsiTheme="majorHAnsi" w:eastAsiaTheme="majorEastAsia" w:cstheme="majorBidi"/>
      <w:spacing w:val="-10"/>
      <w:kern w:val="28"/>
      <w:sz w:val="56"/>
      <w:szCs w:val="56"/>
      <w:lang w:val="id-ID"/>
    </w:rPr>
  </w:style>
  <w:style w:type="character" w:customStyle="1" w:styleId="28">
    <w:name w:val="Subtitle Char"/>
    <w:basedOn w:val="11"/>
    <w:link w:val="15"/>
    <w:qFormat/>
    <w:uiPriority w:val="11"/>
    <w:rPr>
      <w:rFonts w:eastAsiaTheme="majorEastAsia" w:cstheme="majorBidi"/>
      <w:color w:val="595959" w:themeColor="text1" w:themeTint="A6"/>
      <w:spacing w:val="15"/>
      <w:sz w:val="28"/>
      <w:szCs w:val="28"/>
      <w:lang w:val="id-ID"/>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Quote Char"/>
    <w:basedOn w:val="11"/>
    <w:link w:val="29"/>
    <w:uiPriority w:val="29"/>
    <w:rPr>
      <w:i/>
      <w:iCs/>
      <w:color w:val="404040" w:themeColor="text1" w:themeTint="BF"/>
      <w:lang w:val="id-ID"/>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1"/>
    <w:qFormat/>
    <w:uiPriority w:val="21"/>
    <w:rPr>
      <w:i/>
      <w:iCs/>
      <w:color w:val="376092" w:themeColor="accent1" w:themeShade="BF"/>
    </w:rPr>
  </w:style>
  <w:style w:type="paragraph" w:styleId="33">
    <w:name w:val="Intense Quote"/>
    <w:basedOn w:val="1"/>
    <w:next w:val="1"/>
    <w:link w:val="34"/>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34">
    <w:name w:val="Intense Quote Char"/>
    <w:basedOn w:val="11"/>
    <w:link w:val="33"/>
    <w:uiPriority w:val="30"/>
    <w:rPr>
      <w:i/>
      <w:iCs/>
      <w:color w:val="376092" w:themeColor="accent1" w:themeShade="BF"/>
      <w:lang w:val="id-ID"/>
    </w:rPr>
  </w:style>
  <w:style w:type="character" w:customStyle="1" w:styleId="35">
    <w:name w:val="Intense Reference"/>
    <w:basedOn w:val="11"/>
    <w:qFormat/>
    <w:uiPriority w:val="32"/>
    <w:rPr>
      <w:b/>
      <w:bCs/>
      <w:smallCaps/>
      <w:color w:val="376092" w:themeColor="accent1" w:themeShade="BF"/>
      <w:spacing w:val="5"/>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1150</Words>
  <Characters>7903</Characters>
  <Lines>65</Lines>
  <Paragraphs>18</Paragraphs>
  <TotalTime>29</TotalTime>
  <ScaleCrop>false</ScaleCrop>
  <LinksUpToDate>false</LinksUpToDate>
  <CharactersWithSpaces>8856</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2025-09-23T04:06:00Z</dcterms:created>
  <dc:creator>INTEL</dc:creator>
  <cp:lastModifiedBy>HAFIZAH COMPUTER</cp:lastModifiedBy>
  <dcterms:modified xsi:type="dcterms:W3CDTF">2026-07-18T02:17:07Z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eyJoZGlkIjoiMjYyM2ZkN2M1MWE3NjdkMjlmNDIwZWJiYzVmOGE2ZDAifQ==</vt:lpwstr>
  </property>
  <property fmtid="{D5CDD505-2E9C-101B-9397-08002B2CF9AE}" pid="3" name="KSOProductBuildVer">
    <vt:lpwstr>1033-12.1.0.26880</vt:lpwstr>
  </property>
  <property fmtid="{D5CDD505-2E9C-101B-9397-08002B2CF9AE}" pid="4" name="ICV">
    <vt:lpwstr>B86132F3ADFE41F0A7DA87231DAC5651_12</vt:lpwstr>
  </property>
</Properties>
</file>