
<file path=[Content_Types].xml><?xml version="1.0" encoding="utf-8"?>
<Types xmlns="http://schemas.openxmlformats.org/package/2006/content-types">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989FA">
      <w:pPr>
        <w:ind w:left="284"/>
        <w:rPr>
          <w:rFonts w:eastAsia="Calibri"/>
          <w:sz w:val="22"/>
          <w:szCs w:val="22"/>
        </w:rPr>
      </w:pPr>
    </w:p>
    <w:tbl>
      <w:tblPr>
        <w:tblStyle w:val="12"/>
        <w:tblW w:w="1290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817"/>
        <w:gridCol w:w="1276"/>
        <w:gridCol w:w="1098"/>
        <w:gridCol w:w="784"/>
        <w:gridCol w:w="1659"/>
        <w:gridCol w:w="283"/>
        <w:gridCol w:w="550"/>
        <w:gridCol w:w="16"/>
        <w:gridCol w:w="1137"/>
        <w:gridCol w:w="296"/>
        <w:gridCol w:w="850"/>
        <w:gridCol w:w="709"/>
        <w:gridCol w:w="1418"/>
        <w:gridCol w:w="141"/>
        <w:gridCol w:w="1140"/>
      </w:tblGrid>
      <w:tr w14:paraId="2FAE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shd w:val="clear" w:color="auto" w:fill="DAEEF3"/>
            <w:vAlign w:val="center"/>
          </w:tcPr>
          <w:p w14:paraId="76FF161B">
            <w:pPr>
              <w:jc w:val="center"/>
              <w:rPr>
                <w:rFonts w:eastAsia="Calibri"/>
                <w:b/>
              </w:rPr>
            </w:pPr>
            <w:r>
              <w:rPr>
                <w:rFonts w:ascii="Candara" w:hAnsi="Candara" w:cs="Arial"/>
              </w:rPr>
              <w:drawing>
                <wp:inline distT="0" distB="0" distL="0" distR="0">
                  <wp:extent cx="514985"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678" name="Picture 1120259678" descr="Description: D:\1. Badan Penjaminan Mutu UBM Gorontalo\LOGO UBMG transpara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flipH="1">
                            <a:off x="0" y="0"/>
                            <a:ext cx="520744" cy="564970"/>
                          </a:xfrm>
                          <a:prstGeom prst="rect">
                            <a:avLst/>
                          </a:prstGeom>
                          <a:noFill/>
                          <a:ln>
                            <a:noFill/>
                          </a:ln>
                        </pic:spPr>
                      </pic:pic>
                    </a:graphicData>
                  </a:graphic>
                </wp:inline>
              </w:drawing>
            </w:r>
          </w:p>
        </w:tc>
        <w:tc>
          <w:tcPr>
            <w:tcW w:w="10076" w:type="dxa"/>
            <w:gridSpan w:val="12"/>
            <w:shd w:val="clear" w:color="auto" w:fill="DAEEF3"/>
          </w:tcPr>
          <w:p w14:paraId="3300054B">
            <w:pPr>
              <w:jc w:val="center"/>
              <w:rPr>
                <w:rFonts w:ascii="Candara" w:hAnsi="Candara"/>
                <w:b/>
              </w:rPr>
            </w:pPr>
            <w:r>
              <w:rPr>
                <w:rFonts w:ascii="Candara" w:hAnsi="Candara"/>
                <w:b/>
              </w:rPr>
              <w:t>UNIVERSITAS BINA MANDIRI GORONTALO</w:t>
            </w:r>
          </w:p>
          <w:p w14:paraId="22D7CEE9">
            <w:pPr>
              <w:jc w:val="center"/>
              <w:rPr>
                <w:rFonts w:ascii="Candara" w:hAnsi="Candara"/>
                <w:b/>
                <w:sz w:val="22"/>
                <w:szCs w:val="14"/>
              </w:rPr>
            </w:pPr>
            <w:r>
              <w:rPr>
                <w:rFonts w:ascii="Candara" w:hAnsi="Candara"/>
                <w:b/>
                <w:sz w:val="22"/>
                <w:szCs w:val="14"/>
              </w:rPr>
              <w:t xml:space="preserve">FAKULTAS SAINS TEKNOLOGI DAN ILMU KESEHATAN </w:t>
            </w:r>
          </w:p>
          <w:p w14:paraId="4C29911E">
            <w:pPr>
              <w:jc w:val="center"/>
              <w:rPr>
                <w:rFonts w:eastAsia="Cambria"/>
                <w:b/>
                <w:lang w:val="sv-SE"/>
              </w:rPr>
            </w:pPr>
            <w:r>
              <w:rPr>
                <w:rFonts w:ascii="Candara" w:hAnsi="Candara"/>
                <w:b/>
                <w:sz w:val="26"/>
                <w:szCs w:val="26"/>
              </w:rPr>
              <w:t xml:space="preserve">PROGRAM STUDI S1 KESELAMATAN DAN KESEHATAN KERJA </w:t>
            </w:r>
          </w:p>
        </w:tc>
        <w:tc>
          <w:tcPr>
            <w:tcW w:w="1281" w:type="dxa"/>
            <w:gridSpan w:val="2"/>
            <w:shd w:val="clear" w:color="auto" w:fill="DAEEF3"/>
          </w:tcPr>
          <w:p w14:paraId="71B108E2">
            <w:pPr>
              <w:jc w:val="center"/>
              <w:rPr>
                <w:rFonts w:eastAsia="Cambria"/>
                <w:b/>
              </w:rPr>
            </w:pPr>
            <w:r>
              <w:rPr>
                <w:rFonts w:eastAsia="Cambria"/>
                <w:b/>
              </w:rPr>
              <w:t>Kode Dokumen</w:t>
            </w:r>
          </w:p>
        </w:tc>
      </w:tr>
      <w:tr w14:paraId="7C6A2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906" w:type="dxa"/>
            <w:gridSpan w:val="16"/>
            <w:shd w:val="clear" w:color="auto" w:fill="DAEEF3"/>
          </w:tcPr>
          <w:p w14:paraId="5B9EF6AD">
            <w:pPr>
              <w:jc w:val="center"/>
              <w:rPr>
                <w:rFonts w:eastAsia="Cambria"/>
                <w:b/>
              </w:rPr>
            </w:pPr>
            <w:r>
              <w:rPr>
                <w:rFonts w:eastAsia="Cambria"/>
                <w:b/>
              </w:rPr>
              <w:t>RENCANA PEMBELAJARAN SEMESTER</w:t>
            </w:r>
          </w:p>
        </w:tc>
      </w:tr>
      <w:tr w14:paraId="40BBE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shd w:val="clear" w:color="auto" w:fill="E7E6E6"/>
          </w:tcPr>
          <w:p w14:paraId="0FAC5E80">
            <w:pPr>
              <w:rPr>
                <w:rFonts w:eastAsia="Calibri"/>
                <w:b/>
              </w:rPr>
            </w:pPr>
            <w:r>
              <w:rPr>
                <w:rFonts w:eastAsia="Calibri"/>
                <w:b/>
              </w:rPr>
              <w:t>MATA KULIAH (MK)</w:t>
            </w:r>
          </w:p>
        </w:tc>
        <w:tc>
          <w:tcPr>
            <w:tcW w:w="2443" w:type="dxa"/>
            <w:gridSpan w:val="2"/>
            <w:shd w:val="clear" w:color="auto" w:fill="E7E6E6"/>
          </w:tcPr>
          <w:p w14:paraId="62B20B1F">
            <w:pPr>
              <w:rPr>
                <w:rFonts w:eastAsia="Calibri"/>
                <w:b/>
              </w:rPr>
            </w:pPr>
            <w:r>
              <w:rPr>
                <w:rFonts w:eastAsia="Calibri"/>
                <w:b/>
              </w:rPr>
              <w:t>KODE</w:t>
            </w:r>
          </w:p>
        </w:tc>
        <w:tc>
          <w:tcPr>
            <w:tcW w:w="2282" w:type="dxa"/>
            <w:gridSpan w:val="5"/>
            <w:shd w:val="clear" w:color="auto" w:fill="E7E6E6"/>
          </w:tcPr>
          <w:p w14:paraId="63618E0F">
            <w:pPr>
              <w:rPr>
                <w:rFonts w:eastAsia="Calibri"/>
                <w:b/>
              </w:rPr>
            </w:pPr>
            <w:r>
              <w:rPr>
                <w:rFonts w:eastAsia="Calibri"/>
                <w:b/>
              </w:rPr>
              <w:t>Rumpun MK</w:t>
            </w:r>
          </w:p>
        </w:tc>
        <w:tc>
          <w:tcPr>
            <w:tcW w:w="1559" w:type="dxa"/>
            <w:gridSpan w:val="2"/>
            <w:shd w:val="clear" w:color="auto" w:fill="E7E6E6"/>
          </w:tcPr>
          <w:p w14:paraId="3093C192">
            <w:pPr>
              <w:rPr>
                <w:rFonts w:eastAsia="Calibri"/>
                <w:b/>
              </w:rPr>
            </w:pPr>
            <w:r>
              <w:rPr>
                <w:rFonts w:eastAsia="Calibri"/>
                <w:b/>
              </w:rPr>
              <w:t>BOBOT (sks)</w:t>
            </w:r>
          </w:p>
        </w:tc>
        <w:tc>
          <w:tcPr>
            <w:tcW w:w="1418" w:type="dxa"/>
            <w:shd w:val="clear" w:color="auto" w:fill="E7E6E6"/>
          </w:tcPr>
          <w:p w14:paraId="2F75DC00">
            <w:pPr>
              <w:rPr>
                <w:rFonts w:eastAsia="Calibri"/>
                <w:b/>
              </w:rPr>
            </w:pPr>
            <w:r>
              <w:rPr>
                <w:rFonts w:eastAsia="Calibri"/>
                <w:b/>
              </w:rPr>
              <w:t>SEMESTER</w:t>
            </w:r>
          </w:p>
        </w:tc>
        <w:tc>
          <w:tcPr>
            <w:tcW w:w="1281" w:type="dxa"/>
            <w:gridSpan w:val="2"/>
            <w:shd w:val="clear" w:color="auto" w:fill="E7E6E6"/>
          </w:tcPr>
          <w:p w14:paraId="5785BD4C">
            <w:pPr>
              <w:rPr>
                <w:rFonts w:eastAsia="Calibri"/>
                <w:b/>
              </w:rPr>
            </w:pPr>
            <w:r>
              <w:rPr>
                <w:rFonts w:eastAsia="Calibri"/>
                <w:b/>
              </w:rPr>
              <w:t>Tgl Penyusunan</w:t>
            </w:r>
          </w:p>
        </w:tc>
      </w:tr>
      <w:tr w14:paraId="0EC9F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tcPr>
          <w:p w14:paraId="03FA7627">
            <w:pPr>
              <w:rPr>
                <w:rFonts w:eastAsia="Calibri"/>
                <w:b/>
              </w:rPr>
            </w:pPr>
          </w:p>
        </w:tc>
        <w:tc>
          <w:tcPr>
            <w:tcW w:w="2443" w:type="dxa"/>
            <w:gridSpan w:val="2"/>
          </w:tcPr>
          <w:p w14:paraId="3A9359AF">
            <w:pPr>
              <w:rPr>
                <w:rFonts w:eastAsia="Calibri"/>
              </w:rPr>
            </w:pPr>
            <w:r>
              <w:rPr>
                <w:rFonts w:eastAsia="Calibri"/>
              </w:rPr>
              <w:t>23252102</w:t>
            </w:r>
          </w:p>
        </w:tc>
        <w:tc>
          <w:tcPr>
            <w:tcW w:w="2282" w:type="dxa"/>
            <w:gridSpan w:val="5"/>
          </w:tcPr>
          <w:p w14:paraId="41E46C29">
            <w:pPr>
              <w:rPr>
                <w:rFonts w:eastAsia="Calibri"/>
              </w:rPr>
            </w:pPr>
          </w:p>
        </w:tc>
        <w:tc>
          <w:tcPr>
            <w:tcW w:w="850" w:type="dxa"/>
          </w:tcPr>
          <w:p w14:paraId="731635B6">
            <w:pPr>
              <w:jc w:val="center"/>
              <w:rPr>
                <w:rFonts w:eastAsia="Calibri"/>
                <w:b/>
              </w:rPr>
            </w:pPr>
            <w:r>
              <w:rPr>
                <w:rFonts w:eastAsia="Calibri"/>
                <w:b/>
              </w:rPr>
              <w:t>T=2</w:t>
            </w:r>
          </w:p>
        </w:tc>
        <w:tc>
          <w:tcPr>
            <w:tcW w:w="709" w:type="dxa"/>
          </w:tcPr>
          <w:p w14:paraId="361778A2">
            <w:pPr>
              <w:jc w:val="center"/>
              <w:rPr>
                <w:rFonts w:eastAsia="Calibri"/>
                <w:b/>
              </w:rPr>
            </w:pPr>
            <w:r>
              <w:rPr>
                <w:rFonts w:eastAsia="Calibri"/>
                <w:b/>
              </w:rPr>
              <w:t>P=</w:t>
            </w:r>
          </w:p>
        </w:tc>
        <w:tc>
          <w:tcPr>
            <w:tcW w:w="1418" w:type="dxa"/>
          </w:tcPr>
          <w:p w14:paraId="3D7BBFE2">
            <w:pPr>
              <w:jc w:val="center"/>
              <w:rPr>
                <w:rFonts w:eastAsia="Calibri"/>
              </w:rPr>
            </w:pPr>
            <w:r>
              <w:rPr>
                <w:rFonts w:eastAsia="Calibri"/>
              </w:rPr>
              <w:t>1</w:t>
            </w:r>
          </w:p>
        </w:tc>
        <w:tc>
          <w:tcPr>
            <w:tcW w:w="1281" w:type="dxa"/>
            <w:gridSpan w:val="2"/>
          </w:tcPr>
          <w:p w14:paraId="4F7D238F">
            <w:pPr>
              <w:rPr>
                <w:rFonts w:eastAsia="Calibri"/>
              </w:rPr>
            </w:pPr>
            <w:r>
              <w:rPr>
                <w:rFonts w:eastAsia="Calibri"/>
              </w:rPr>
              <w:t>20-08-2025</w:t>
            </w:r>
          </w:p>
        </w:tc>
      </w:tr>
      <w:tr w14:paraId="58BC3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vMerge w:val="restart"/>
          </w:tcPr>
          <w:p w14:paraId="74633285">
            <w:pPr>
              <w:rPr>
                <w:rFonts w:eastAsia="Calibri"/>
                <w:b/>
              </w:rPr>
            </w:pPr>
            <w:r>
              <w:rPr>
                <w:rFonts w:eastAsia="Calibri"/>
                <w:b/>
              </w:rPr>
              <w:t>Kewarganegaraan</w:t>
            </w:r>
          </w:p>
        </w:tc>
        <w:tc>
          <w:tcPr>
            <w:tcW w:w="3292" w:type="dxa"/>
            <w:gridSpan w:val="5"/>
            <w:shd w:val="clear" w:color="auto" w:fill="E7E6E6"/>
          </w:tcPr>
          <w:p w14:paraId="1C9611A1">
            <w:pPr>
              <w:rPr>
                <w:rFonts w:eastAsia="Calibri"/>
                <w:b/>
              </w:rPr>
            </w:pPr>
            <w:r>
              <w:rPr>
                <w:rFonts w:eastAsia="Calibri"/>
                <w:b/>
              </w:rPr>
              <w:t>Pengembang RPS</w:t>
            </w:r>
          </w:p>
        </w:tc>
        <w:tc>
          <w:tcPr>
            <w:tcW w:w="2992" w:type="dxa"/>
            <w:gridSpan w:val="4"/>
            <w:shd w:val="clear" w:color="auto" w:fill="E7E6E6"/>
          </w:tcPr>
          <w:p w14:paraId="442F03F6">
            <w:pPr>
              <w:rPr>
                <w:rFonts w:eastAsia="Calibri"/>
                <w:b/>
              </w:rPr>
            </w:pPr>
            <w:r>
              <w:rPr>
                <w:rFonts w:eastAsia="Calibri"/>
                <w:b/>
              </w:rPr>
              <w:t>Koordinator RMK</w:t>
            </w:r>
          </w:p>
        </w:tc>
        <w:tc>
          <w:tcPr>
            <w:tcW w:w="2699" w:type="dxa"/>
            <w:gridSpan w:val="3"/>
            <w:shd w:val="clear" w:color="auto" w:fill="E7E6E6"/>
          </w:tcPr>
          <w:p w14:paraId="5AB7D03A">
            <w:pPr>
              <w:rPr>
                <w:rFonts w:eastAsia="Calibri"/>
                <w:b/>
              </w:rPr>
            </w:pPr>
            <w:r>
              <w:rPr>
                <w:rFonts w:eastAsia="Calibri"/>
                <w:b/>
              </w:rPr>
              <w:t>Ketua PRODI</w:t>
            </w:r>
          </w:p>
        </w:tc>
      </w:tr>
      <w:tr w14:paraId="17C94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3923" w:type="dxa"/>
            <w:gridSpan w:val="4"/>
            <w:vMerge w:val="continue"/>
          </w:tcPr>
          <w:p w14:paraId="475AC08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3292" w:type="dxa"/>
            <w:gridSpan w:val="5"/>
            <w:tcBorders>
              <w:bottom w:val="single" w:color="000000" w:sz="4" w:space="0"/>
            </w:tcBorders>
          </w:tcPr>
          <w:p w14:paraId="47ED335C">
            <w:pPr>
              <w:jc w:val="center"/>
              <w:rPr>
                <w:rFonts w:hint="default" w:eastAsia="Calibri"/>
                <w:b/>
                <w:bCs/>
              </w:rPr>
            </w:pPr>
            <w:r>
              <w:drawing>
                <wp:anchor distT="0" distB="0" distL="114300" distR="114300" simplePos="0" relativeHeight="251661312" behindDoc="1" locked="0" layoutInCell="1" allowOverlap="1">
                  <wp:simplePos x="0" y="0"/>
                  <wp:positionH relativeFrom="column">
                    <wp:posOffset>486410</wp:posOffset>
                  </wp:positionH>
                  <wp:positionV relativeFrom="paragraph">
                    <wp:posOffset>120650</wp:posOffset>
                  </wp:positionV>
                  <wp:extent cx="1238250" cy="648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1238250" cy="648970"/>
                          </a:xfrm>
                          <a:prstGeom prst="rect">
                            <a:avLst/>
                          </a:prstGeom>
                          <a:noFill/>
                          <a:ln>
                            <a:noFill/>
                          </a:ln>
                        </pic:spPr>
                      </pic:pic>
                    </a:graphicData>
                  </a:graphic>
                </wp:anchor>
              </w:drawing>
            </w:r>
          </w:p>
          <w:p w14:paraId="40DDCF99">
            <w:pPr>
              <w:jc w:val="center"/>
              <w:rPr>
                <w:rFonts w:hint="default" w:eastAsia="Calibri"/>
                <w:b/>
                <w:bCs/>
              </w:rPr>
            </w:pPr>
          </w:p>
          <w:p w14:paraId="4A501397">
            <w:pPr>
              <w:jc w:val="center"/>
              <w:rPr>
                <w:rFonts w:hint="default" w:eastAsia="Calibri"/>
                <w:b/>
                <w:bCs/>
              </w:rPr>
            </w:pPr>
          </w:p>
          <w:p w14:paraId="43881A4D">
            <w:pPr>
              <w:jc w:val="center"/>
              <w:rPr>
                <w:rFonts w:hint="default" w:eastAsia="Calibri"/>
                <w:b/>
                <w:bCs/>
              </w:rPr>
            </w:pPr>
          </w:p>
          <w:p w14:paraId="38103F55">
            <w:pPr>
              <w:jc w:val="center"/>
              <w:rPr>
                <w:rFonts w:eastAsia="Calibri"/>
                <w:b/>
                <w:bCs/>
              </w:rPr>
            </w:pPr>
            <w:r>
              <w:rPr>
                <w:rFonts w:hint="default" w:eastAsia="Calibri"/>
                <w:b/>
                <w:bCs/>
              </w:rPr>
              <w:t>Dr. Ibrahim Ahmad, S.H., M.H</w:t>
            </w:r>
          </w:p>
        </w:tc>
        <w:tc>
          <w:tcPr>
            <w:tcW w:w="2992" w:type="dxa"/>
            <w:gridSpan w:val="4"/>
            <w:tcBorders>
              <w:bottom w:val="single" w:color="000000" w:sz="4" w:space="0"/>
            </w:tcBorders>
          </w:tcPr>
          <w:p w14:paraId="42C4BC21">
            <w:pPr>
              <w:jc w:val="center"/>
              <w:rPr>
                <w:sz w:val="24"/>
              </w:rPr>
            </w:pPr>
            <w:r>
              <w:drawing>
                <wp:anchor distT="0" distB="0" distL="114300" distR="114300" simplePos="0" relativeHeight="251660288" behindDoc="1" locked="0" layoutInCell="1" allowOverlap="1">
                  <wp:simplePos x="0" y="0"/>
                  <wp:positionH relativeFrom="column">
                    <wp:posOffset>234315</wp:posOffset>
                  </wp:positionH>
                  <wp:positionV relativeFrom="paragraph">
                    <wp:posOffset>92075</wp:posOffset>
                  </wp:positionV>
                  <wp:extent cx="1238250" cy="648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1238250" cy="648970"/>
                          </a:xfrm>
                          <a:prstGeom prst="rect">
                            <a:avLst/>
                          </a:prstGeom>
                          <a:noFill/>
                          <a:ln>
                            <a:noFill/>
                          </a:ln>
                        </pic:spPr>
                      </pic:pic>
                    </a:graphicData>
                  </a:graphic>
                </wp:anchor>
              </w:drawing>
            </w:r>
          </w:p>
          <w:p w14:paraId="78AAF90B">
            <w:pPr>
              <w:jc w:val="center"/>
              <w:rPr>
                <w:sz w:val="24"/>
              </w:rPr>
            </w:pPr>
          </w:p>
          <w:p w14:paraId="43CD9B27">
            <w:pPr>
              <w:rPr>
                <w:rFonts w:eastAsia="Calibri"/>
                <w:b/>
              </w:rPr>
            </w:pPr>
          </w:p>
          <w:p w14:paraId="35E77C21">
            <w:pPr>
              <w:jc w:val="center"/>
              <w:rPr>
                <w:rFonts w:hint="default" w:eastAsia="Calibri"/>
                <w:b/>
                <w:sz w:val="20"/>
                <w:szCs w:val="20"/>
              </w:rPr>
            </w:pPr>
          </w:p>
          <w:p w14:paraId="6344255B">
            <w:pPr>
              <w:jc w:val="center"/>
              <w:rPr>
                <w:rFonts w:ascii="Candara" w:hAnsi="Candara"/>
                <w:b/>
                <w:sz w:val="24"/>
                <w:szCs w:val="24"/>
                <w:highlight w:val="yellow"/>
              </w:rPr>
            </w:pPr>
            <w:r>
              <w:rPr>
                <w:rFonts w:hint="default" w:eastAsia="Calibri"/>
                <w:b/>
                <w:sz w:val="20"/>
                <w:szCs w:val="20"/>
              </w:rPr>
              <w:t>Dr. Ibrahim Ahmad, S.H., M.H</w:t>
            </w:r>
          </w:p>
          <w:p w14:paraId="1072168F">
            <w:pPr>
              <w:jc w:val="center"/>
              <w:rPr>
                <w:rFonts w:eastAsia="Calibri"/>
                <w:b/>
                <w:bCs/>
              </w:rPr>
            </w:pPr>
          </w:p>
        </w:tc>
        <w:tc>
          <w:tcPr>
            <w:tcW w:w="2699" w:type="dxa"/>
            <w:gridSpan w:val="3"/>
            <w:tcBorders>
              <w:bottom w:val="single" w:color="000000" w:sz="4" w:space="0"/>
            </w:tcBorders>
          </w:tcPr>
          <w:p w14:paraId="48E1C181">
            <w:pPr>
              <w:jc w:val="center"/>
              <w:rPr>
                <w:rFonts w:eastAsia="Calibri"/>
                <w:b/>
              </w:rPr>
            </w:pPr>
            <w:r>
              <w:rPr>
                <w:sz w:val="24"/>
              </w:rPr>
              <w:drawing>
                <wp:anchor distT="0" distB="0" distL="114300" distR="114300" simplePos="0" relativeHeight="251659264" behindDoc="0" locked="0" layoutInCell="1" allowOverlap="1">
                  <wp:simplePos x="0" y="0"/>
                  <wp:positionH relativeFrom="column">
                    <wp:posOffset>-44450</wp:posOffset>
                  </wp:positionH>
                  <wp:positionV relativeFrom="paragraph">
                    <wp:posOffset>93345</wp:posOffset>
                  </wp:positionV>
                  <wp:extent cx="1400175" cy="536575"/>
                  <wp:effectExtent l="0" t="0" r="9525" b="0"/>
                  <wp:wrapTopAndBottom/>
                  <wp:docPr id="758725064" name="Picture 75872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25064" name="Picture 758725064"/>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1400175" cy="536575"/>
                          </a:xfrm>
                          <a:prstGeom prst="rect">
                            <a:avLst/>
                          </a:prstGeom>
                          <a:noFill/>
                        </pic:spPr>
                      </pic:pic>
                    </a:graphicData>
                  </a:graphic>
                </wp:anchor>
              </w:drawing>
            </w:r>
            <w:r>
              <w:rPr>
                <w:rFonts w:ascii="Candara" w:hAnsi="Candara"/>
                <w:b/>
                <w:sz w:val="24"/>
                <w:szCs w:val="24"/>
              </w:rPr>
              <w:t>Arpin, SKM., M.Kes</w:t>
            </w:r>
          </w:p>
        </w:tc>
      </w:tr>
      <w:tr w14:paraId="2B7D4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restart"/>
          </w:tcPr>
          <w:p w14:paraId="1F16D953">
            <w:pPr>
              <w:rPr>
                <w:rFonts w:eastAsia="Calibri"/>
                <w:b/>
              </w:rPr>
            </w:pPr>
            <w:r>
              <w:rPr>
                <w:rFonts w:eastAsia="Calibri"/>
                <w:b/>
              </w:rPr>
              <w:t>Capaian Pembelajaran (CP)\</w:t>
            </w:r>
          </w:p>
        </w:tc>
        <w:tc>
          <w:tcPr>
            <w:tcW w:w="5666" w:type="dxa"/>
            <w:gridSpan w:val="7"/>
            <w:tcBorders>
              <w:bottom w:val="single" w:color="000000" w:sz="4" w:space="0"/>
            </w:tcBorders>
            <w:shd w:val="clear" w:color="auto" w:fill="E7E6E6"/>
          </w:tcPr>
          <w:p w14:paraId="4A9C121A">
            <w:pPr>
              <w:tabs>
                <w:tab w:val="left" w:pos="1806"/>
              </w:tabs>
              <w:rPr>
                <w:rFonts w:eastAsia="Calibri"/>
                <w:b/>
                <w:lang w:val="sv-SE"/>
              </w:rPr>
            </w:pPr>
            <w:r>
              <w:rPr>
                <w:rFonts w:eastAsia="Calibri"/>
                <w:b/>
                <w:lang w:val="sv-SE"/>
              </w:rPr>
              <w:t xml:space="preserve">CPL-PRODI  yang dibebankan pada MK       </w:t>
            </w:r>
          </w:p>
        </w:tc>
        <w:tc>
          <w:tcPr>
            <w:tcW w:w="5691" w:type="dxa"/>
            <w:gridSpan w:val="7"/>
            <w:tcBorders>
              <w:bottom w:val="single" w:color="FFFFFF" w:sz="8" w:space="0"/>
            </w:tcBorders>
          </w:tcPr>
          <w:p w14:paraId="606F5E30">
            <w:pPr>
              <w:tabs>
                <w:tab w:val="left" w:pos="1806"/>
              </w:tabs>
              <w:rPr>
                <w:rFonts w:eastAsia="Calibri"/>
                <w:b/>
                <w:lang w:val="sv-SE"/>
              </w:rPr>
            </w:pPr>
          </w:p>
        </w:tc>
      </w:tr>
      <w:tr w14:paraId="530D5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7F8463A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lang w:val="sv-SE"/>
              </w:rPr>
            </w:pPr>
          </w:p>
        </w:tc>
        <w:tc>
          <w:tcPr>
            <w:tcW w:w="1276" w:type="dxa"/>
            <w:vAlign w:val="center"/>
          </w:tcPr>
          <w:p w14:paraId="00963A53">
            <w:pPr>
              <w:rPr>
                <w:rFonts w:eastAsia="Calibri"/>
              </w:rPr>
            </w:pPr>
            <w:r>
              <w:rPr>
                <w:rFonts w:eastAsia="Calibri"/>
              </w:rPr>
              <w:t>CPL-1</w:t>
            </w:r>
          </w:p>
        </w:tc>
        <w:tc>
          <w:tcPr>
            <w:tcW w:w="10081" w:type="dxa"/>
            <w:gridSpan w:val="13"/>
            <w:vAlign w:val="center"/>
          </w:tcPr>
          <w:p w14:paraId="1E48345B">
            <w:pPr>
              <w:jc w:val="both"/>
              <w:rPr>
                <w:rFonts w:eastAsia="Calibri"/>
              </w:rPr>
            </w:pPr>
            <w:r>
              <w:rPr>
                <w:rFonts w:eastAsia="Calibri"/>
              </w:rPr>
              <w:t>Bertakwa kepada Tuhan Yang Maha Esa, menjunjung tinggi nilai kemanusiaan, etika, norma hukum, serta menunjukkan sikap profesional, tanggun</w:t>
            </w:r>
            <w:bookmarkStart w:id="0" w:name="_GoBack"/>
            <w:bookmarkEnd w:id="0"/>
            <w:r>
              <w:rPr>
                <w:rFonts w:eastAsia="Calibri"/>
              </w:rPr>
              <w:t>g jawab, dan nasionalisme dalam praktik Keselamatan dan Kesehatan Kerja (K3).</w:t>
            </w:r>
          </w:p>
        </w:tc>
      </w:tr>
      <w:tr w14:paraId="75EB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549" w:type="dxa"/>
            <w:gridSpan w:val="2"/>
            <w:vMerge w:val="continue"/>
          </w:tcPr>
          <w:p w14:paraId="6289B39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666" w:type="dxa"/>
            <w:gridSpan w:val="7"/>
            <w:tcBorders>
              <w:top w:val="single" w:color="000000" w:sz="4" w:space="0"/>
              <w:bottom w:val="single" w:color="000000" w:sz="4" w:space="0"/>
            </w:tcBorders>
            <w:shd w:val="clear" w:color="auto" w:fill="E7E6E6"/>
          </w:tcPr>
          <w:p w14:paraId="57BCCDDA">
            <w:pPr>
              <w:rPr>
                <w:rFonts w:eastAsia="Calibri"/>
                <w:lang w:val="sv-SE"/>
              </w:rPr>
            </w:pPr>
            <w:r>
              <w:rPr>
                <w:rFonts w:eastAsia="Calibri"/>
                <w:b/>
                <w:lang w:val="sv-SE"/>
              </w:rPr>
              <w:t>Capaian Pembelajaran Mata Kuliah (CPMK)</w:t>
            </w:r>
          </w:p>
        </w:tc>
        <w:tc>
          <w:tcPr>
            <w:tcW w:w="5691" w:type="dxa"/>
            <w:gridSpan w:val="7"/>
            <w:tcBorders>
              <w:top w:val="nil"/>
              <w:bottom w:val="nil"/>
            </w:tcBorders>
          </w:tcPr>
          <w:p w14:paraId="0131FE0A">
            <w:pPr>
              <w:rPr>
                <w:rFonts w:eastAsia="Calibri"/>
                <w:lang w:val="sv-SE"/>
              </w:rPr>
            </w:pPr>
          </w:p>
        </w:tc>
      </w:tr>
      <w:tr w14:paraId="66F2D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6458A6F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lang w:val="sv-SE"/>
              </w:rPr>
            </w:pPr>
          </w:p>
        </w:tc>
        <w:tc>
          <w:tcPr>
            <w:tcW w:w="1276" w:type="dxa"/>
            <w:vAlign w:val="center"/>
          </w:tcPr>
          <w:p w14:paraId="38094564">
            <w:pPr>
              <w:jc w:val="both"/>
              <w:rPr>
                <w:rFonts w:eastAsia="Calibri"/>
              </w:rPr>
            </w:pPr>
            <w:r>
              <w:rPr>
                <w:b/>
                <w:bCs/>
              </w:rPr>
              <w:t>CPMK 1</w:t>
            </w:r>
          </w:p>
        </w:tc>
        <w:tc>
          <w:tcPr>
            <w:tcW w:w="10081" w:type="dxa"/>
            <w:gridSpan w:val="13"/>
            <w:vAlign w:val="center"/>
          </w:tcPr>
          <w:p w14:paraId="56B7DF00">
            <w:pPr>
              <w:jc w:val="both"/>
              <w:rPr>
                <w:rFonts w:eastAsia="Calibri"/>
                <w:lang w:val="sv-SE"/>
              </w:rPr>
            </w:pPr>
            <w:r>
              <w:t xml:space="preserve">Mampu </w:t>
            </w:r>
            <w:r>
              <w:rPr>
                <w:b/>
                <w:bCs/>
              </w:rPr>
              <w:t>menganalisis</w:t>
            </w:r>
            <w:r>
              <w:t xml:space="preserve"> hakikat, urgensi Pendidikan Kewarganegaraan, Identitas Nasional, dan Konstitusi Negara RI, sebagai pondasi pembentukan </w:t>
            </w:r>
            <w:r>
              <w:rPr>
                <w:b/>
                <w:bCs/>
              </w:rPr>
              <w:t>nasionalisme dan etika profesi K3</w:t>
            </w:r>
            <w:r>
              <w:t>.(CPL-1)</w:t>
            </w:r>
          </w:p>
        </w:tc>
      </w:tr>
      <w:tr w14:paraId="6A100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DFDB68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lang w:val="sv-SE"/>
              </w:rPr>
            </w:pPr>
          </w:p>
        </w:tc>
        <w:tc>
          <w:tcPr>
            <w:tcW w:w="1276" w:type="dxa"/>
            <w:vAlign w:val="center"/>
          </w:tcPr>
          <w:p w14:paraId="59513156">
            <w:pPr>
              <w:jc w:val="both"/>
              <w:rPr>
                <w:rFonts w:eastAsia="Calibri"/>
              </w:rPr>
            </w:pPr>
            <w:r>
              <w:rPr>
                <w:b/>
                <w:bCs/>
              </w:rPr>
              <w:t>CPMK 2</w:t>
            </w:r>
          </w:p>
        </w:tc>
        <w:tc>
          <w:tcPr>
            <w:tcW w:w="10081" w:type="dxa"/>
            <w:gridSpan w:val="13"/>
            <w:vAlign w:val="center"/>
          </w:tcPr>
          <w:p w14:paraId="1ADEA296">
            <w:pPr>
              <w:jc w:val="both"/>
              <w:rPr>
                <w:rFonts w:eastAsia="Calibri"/>
              </w:rPr>
            </w:pPr>
            <w:r>
              <w:t xml:space="preserve">Mampu </w:t>
            </w:r>
            <w:r>
              <w:rPr>
                <w:b/>
                <w:bCs/>
              </w:rPr>
              <w:t>mengevaluasi</w:t>
            </w:r>
            <w:r>
              <w:t xml:space="preserve"> dinamika, tantangan, serta implementasi </w:t>
            </w:r>
            <w:r>
              <w:rPr>
                <w:b/>
                <w:bCs/>
              </w:rPr>
              <w:t>Hak dan Kewajiban Warga Negara (termasuk HAM dan Rule of Law)</w:t>
            </w:r>
            <w:r>
              <w:t xml:space="preserve"> dalam konteks regulasi dan penegakan hukum di bidang Keselamatan dan Kesehatan Kerja. (CPL-1)</w:t>
            </w:r>
          </w:p>
        </w:tc>
      </w:tr>
      <w:tr w14:paraId="2C41F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25C6846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lang w:val="sv-SE"/>
              </w:rPr>
            </w:pPr>
          </w:p>
        </w:tc>
        <w:tc>
          <w:tcPr>
            <w:tcW w:w="1276" w:type="dxa"/>
            <w:vAlign w:val="center"/>
          </w:tcPr>
          <w:p w14:paraId="4BD20AD4">
            <w:pPr>
              <w:jc w:val="both"/>
              <w:rPr>
                <w:rFonts w:eastAsia="Calibri"/>
              </w:rPr>
            </w:pPr>
            <w:r>
              <w:rPr>
                <w:b/>
                <w:bCs/>
              </w:rPr>
              <w:t>CPMK 3</w:t>
            </w:r>
          </w:p>
        </w:tc>
        <w:tc>
          <w:tcPr>
            <w:tcW w:w="10081" w:type="dxa"/>
            <w:gridSpan w:val="13"/>
            <w:vAlign w:val="center"/>
          </w:tcPr>
          <w:p w14:paraId="53F655AF">
            <w:pPr>
              <w:jc w:val="both"/>
              <w:rPr>
                <w:rFonts w:eastAsia="Calibri"/>
                <w:lang w:val="zh-CN"/>
              </w:rPr>
            </w:pPr>
            <w:r>
              <w:t xml:space="preserve">Mampu </w:t>
            </w:r>
            <w:r>
              <w:rPr>
                <w:b/>
                <w:bCs/>
              </w:rPr>
              <w:t>menganalisis</w:t>
            </w:r>
            <w:r>
              <w:t xml:space="preserve"> isu-isu kontemporer </w:t>
            </w:r>
            <w:r>
              <w:rPr>
                <w:b/>
                <w:bCs/>
              </w:rPr>
              <w:t>Demokrasi, Wawasan Nusantara, Ketahanan Nasional, dan Bela Negara</w:t>
            </w:r>
            <w:r>
              <w:t>, serta menunjukkan sikap tanggung jawab, disiplin, dan partisipasi aktif (diskusi) dalam memelihara persatuan bangsa untuk mendukung pembangunan K3 yang berkelanjutan. (CPL-1)</w:t>
            </w:r>
          </w:p>
        </w:tc>
      </w:tr>
      <w:tr w14:paraId="682D6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C2A06C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666" w:type="dxa"/>
            <w:gridSpan w:val="7"/>
            <w:shd w:val="clear" w:color="auto" w:fill="D9D9D9"/>
          </w:tcPr>
          <w:p w14:paraId="0353DDFD">
            <w:pPr>
              <w:jc w:val="both"/>
              <w:rPr>
                <w:rFonts w:eastAsia="Calibri"/>
                <w:b/>
              </w:rPr>
            </w:pPr>
            <w:r>
              <w:rPr>
                <w:rFonts w:eastAsia="Calibri"/>
                <w:b/>
              </w:rPr>
              <w:t>Kemampuan akhir tiap tahapan belajar (Sub-CPMK)</w:t>
            </w:r>
          </w:p>
        </w:tc>
        <w:tc>
          <w:tcPr>
            <w:tcW w:w="5691" w:type="dxa"/>
            <w:gridSpan w:val="7"/>
          </w:tcPr>
          <w:p w14:paraId="4377DB85">
            <w:pPr>
              <w:jc w:val="both"/>
              <w:rPr>
                <w:rFonts w:eastAsia="Calibri"/>
              </w:rPr>
            </w:pPr>
          </w:p>
        </w:tc>
      </w:tr>
      <w:tr w14:paraId="0D6F3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310AA4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00541E6F">
            <w:pPr>
              <w:jc w:val="both"/>
              <w:rPr>
                <w:rFonts w:eastAsia="Calibri"/>
              </w:rPr>
            </w:pPr>
            <w:r>
              <w:rPr>
                <w:rFonts w:eastAsia="Calibri"/>
              </w:rPr>
              <w:t>Sub-CPMK-</w:t>
            </w:r>
          </w:p>
        </w:tc>
        <w:tc>
          <w:tcPr>
            <w:tcW w:w="10081" w:type="dxa"/>
            <w:gridSpan w:val="13"/>
            <w:vAlign w:val="center"/>
          </w:tcPr>
          <w:p w14:paraId="36203A74">
            <w:pPr>
              <w:jc w:val="both"/>
              <w:rPr>
                <w:rFonts w:eastAsia="Calibri"/>
              </w:rPr>
            </w:pPr>
            <w:r>
              <w:t xml:space="preserve">Mampu </w:t>
            </w:r>
            <w:r>
              <w:rPr>
                <w:b/>
                <w:bCs/>
              </w:rPr>
              <w:t>menjelaskan</w:t>
            </w:r>
            <w:r>
              <w:t xml:space="preserve"> konsep dasar, hakikat, dan urgensi Pendidikan Kewarganegaraan dalam mengembangkan kemampuan utuh sarjana atau profesional K3.</w:t>
            </w:r>
          </w:p>
        </w:tc>
      </w:tr>
      <w:tr w14:paraId="39851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7F49762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4047D220">
            <w:pPr>
              <w:jc w:val="both"/>
              <w:rPr>
                <w:rFonts w:eastAsia="Calibri"/>
              </w:rPr>
            </w:pPr>
            <w:r>
              <w:rPr>
                <w:rFonts w:eastAsia="Calibri"/>
              </w:rPr>
              <w:t>Sub-CPMK</w:t>
            </w:r>
          </w:p>
        </w:tc>
        <w:tc>
          <w:tcPr>
            <w:tcW w:w="10081" w:type="dxa"/>
            <w:gridSpan w:val="13"/>
            <w:vAlign w:val="center"/>
          </w:tcPr>
          <w:p w14:paraId="1E54E294">
            <w:pPr>
              <w:jc w:val="both"/>
              <w:rPr>
                <w:rFonts w:eastAsia="Calibri"/>
              </w:rPr>
            </w:pPr>
            <w:r>
              <w:t xml:space="preserve">Mampu </w:t>
            </w:r>
            <w:r>
              <w:rPr>
                <w:b/>
                <w:bCs/>
              </w:rPr>
              <w:t>menganalisis</w:t>
            </w:r>
            <w:r>
              <w:t xml:space="preserve"> Konsep, Urgensi, dan Dinamika </w:t>
            </w:r>
            <w:r>
              <w:rPr>
                <w:b/>
                <w:bCs/>
              </w:rPr>
              <w:t>Identitas Nasional</w:t>
            </w:r>
            <w:r>
              <w:t xml:space="preserve"> sebagai manifestasi jatidiri bangsa Indonesia.</w:t>
            </w:r>
          </w:p>
        </w:tc>
      </w:tr>
      <w:tr w14:paraId="27061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0C9471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04B9FE0D">
            <w:pPr>
              <w:jc w:val="both"/>
              <w:rPr>
                <w:rFonts w:eastAsia="Calibri"/>
              </w:rPr>
            </w:pPr>
            <w:r>
              <w:rPr>
                <w:rFonts w:eastAsia="Calibri"/>
              </w:rPr>
              <w:t>Sub-CPMK</w:t>
            </w:r>
          </w:p>
        </w:tc>
        <w:tc>
          <w:tcPr>
            <w:tcW w:w="10081" w:type="dxa"/>
            <w:gridSpan w:val="13"/>
            <w:vAlign w:val="center"/>
          </w:tcPr>
          <w:p w14:paraId="6E53FC61">
            <w:pPr>
              <w:jc w:val="both"/>
              <w:rPr>
                <w:rFonts w:eastAsia="Calibri"/>
              </w:rPr>
            </w:pPr>
            <w:r>
              <w:t xml:space="preserve">Mampu </w:t>
            </w:r>
            <w:r>
              <w:rPr>
                <w:b/>
                <w:bCs/>
              </w:rPr>
              <w:t>mengevaluasi</w:t>
            </w:r>
            <w:r>
              <w:t xml:space="preserve"> pentingnya </w:t>
            </w:r>
            <w:r>
              <w:rPr>
                <w:b/>
                <w:bCs/>
              </w:rPr>
              <w:t>Integrasi Nasional</w:t>
            </w:r>
            <w:r>
              <w:t xml:space="preserve"> sebagai salah satu parameter persatuan dan kesatuan bangsa dalam wadah Negara Kesatuan Republik Indonesia (NKRI).</w:t>
            </w:r>
          </w:p>
        </w:tc>
      </w:tr>
      <w:tr w14:paraId="13112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0FE81D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7EC8736A">
            <w:pPr>
              <w:jc w:val="both"/>
              <w:rPr>
                <w:rFonts w:eastAsia="Calibri"/>
              </w:rPr>
            </w:pPr>
            <w:r>
              <w:rPr>
                <w:rFonts w:eastAsia="Calibri"/>
              </w:rPr>
              <w:t>Sub-CPMK</w:t>
            </w:r>
          </w:p>
        </w:tc>
        <w:tc>
          <w:tcPr>
            <w:tcW w:w="10081" w:type="dxa"/>
            <w:gridSpan w:val="13"/>
            <w:vAlign w:val="center"/>
          </w:tcPr>
          <w:p w14:paraId="6B00A6EF">
            <w:pPr>
              <w:jc w:val="both"/>
              <w:rPr>
                <w:rFonts w:eastAsia="Calibri"/>
              </w:rPr>
            </w:pPr>
            <w:r>
              <w:t xml:space="preserve">Mampu </w:t>
            </w:r>
            <w:r>
              <w:rPr>
                <w:b/>
                <w:bCs/>
              </w:rPr>
              <w:t>menganalisis</w:t>
            </w:r>
            <w:r>
              <w:t xml:space="preserve"> Konsep, Urgensi, Dinamika, dan Tantangan </w:t>
            </w:r>
            <w:r>
              <w:rPr>
                <w:b/>
                <w:bCs/>
              </w:rPr>
              <w:t>Konstitusi Negara RI (UUD NRI 1945)</w:t>
            </w:r>
            <w:r>
              <w:t xml:space="preserve"> serta relevansinya dengan sistem regulasi K3.</w:t>
            </w:r>
          </w:p>
        </w:tc>
      </w:tr>
      <w:tr w14:paraId="188B5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1801BC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6AB73EC4">
            <w:pPr>
              <w:jc w:val="both"/>
              <w:rPr>
                <w:rFonts w:eastAsia="Calibri"/>
              </w:rPr>
            </w:pPr>
            <w:r>
              <w:rPr>
                <w:rFonts w:eastAsia="Calibri"/>
              </w:rPr>
              <w:t>Sub-CPMK</w:t>
            </w:r>
          </w:p>
        </w:tc>
        <w:tc>
          <w:tcPr>
            <w:tcW w:w="10081" w:type="dxa"/>
            <w:gridSpan w:val="13"/>
            <w:vAlign w:val="center"/>
          </w:tcPr>
          <w:p w14:paraId="12EFE75B">
            <w:pPr>
              <w:jc w:val="both"/>
              <w:rPr>
                <w:rFonts w:eastAsia="Calibri"/>
              </w:rPr>
            </w:pPr>
            <w:r>
              <w:t xml:space="preserve">Mampu </w:t>
            </w:r>
            <w:r>
              <w:rPr>
                <w:b/>
                <w:bCs/>
              </w:rPr>
              <w:t>mengevaluasi</w:t>
            </w:r>
            <w:r>
              <w:t xml:space="preserve"> Hubungan </w:t>
            </w:r>
            <w:r>
              <w:rPr>
                <w:b/>
                <w:bCs/>
              </w:rPr>
              <w:t>Hak dan Kewajiban Warga Negara</w:t>
            </w:r>
            <w:r>
              <w:t xml:space="preserve"> serta tantangannya dalam konteks regulasi dan praktik K3.</w:t>
            </w:r>
          </w:p>
        </w:tc>
      </w:tr>
      <w:tr w14:paraId="219C3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7EA3936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645AA7DD">
            <w:pPr>
              <w:jc w:val="both"/>
              <w:rPr>
                <w:rFonts w:eastAsia="Calibri"/>
              </w:rPr>
            </w:pPr>
            <w:r>
              <w:rPr>
                <w:rFonts w:eastAsia="Calibri"/>
              </w:rPr>
              <w:t>Sub-CPMK-</w:t>
            </w:r>
          </w:p>
        </w:tc>
        <w:tc>
          <w:tcPr>
            <w:tcW w:w="10081" w:type="dxa"/>
            <w:gridSpan w:val="13"/>
            <w:vAlign w:val="center"/>
          </w:tcPr>
          <w:p w14:paraId="04E6B436">
            <w:pPr>
              <w:jc w:val="both"/>
              <w:rPr>
                <w:rFonts w:eastAsia="Calibri"/>
              </w:rPr>
            </w:pPr>
            <w:r>
              <w:t xml:space="preserve">Mampu </w:t>
            </w:r>
            <w:r>
              <w:rPr>
                <w:b/>
                <w:bCs/>
              </w:rPr>
              <w:t>menganalisis</w:t>
            </w:r>
            <w:r>
              <w:t xml:space="preserve"> Hakikat, Instrumentasi, dan Praksis </w:t>
            </w:r>
            <w:r>
              <w:rPr>
                <w:b/>
                <w:bCs/>
              </w:rPr>
              <w:t>Demokrasi Indonesia Berlandaskan Pancasila</w:t>
            </w:r>
            <w:r>
              <w:t xml:space="preserve"> dan UUD NRI 1945.</w:t>
            </w:r>
          </w:p>
        </w:tc>
      </w:tr>
      <w:tr w14:paraId="012A8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CFE18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4AEF1E6B">
            <w:pPr>
              <w:jc w:val="both"/>
              <w:rPr>
                <w:rFonts w:eastAsia="Calibri"/>
              </w:rPr>
            </w:pPr>
            <w:r>
              <w:rPr>
                <w:rFonts w:eastAsia="Calibri"/>
              </w:rPr>
              <w:t>Sub-CPMK</w:t>
            </w:r>
          </w:p>
        </w:tc>
        <w:tc>
          <w:tcPr>
            <w:tcW w:w="10081" w:type="dxa"/>
            <w:gridSpan w:val="13"/>
            <w:vAlign w:val="center"/>
          </w:tcPr>
          <w:p w14:paraId="526ED692">
            <w:pPr>
              <w:jc w:val="both"/>
              <w:rPr>
                <w:rFonts w:eastAsia="Calibri"/>
              </w:rPr>
            </w:pPr>
            <w:r>
              <w:t xml:space="preserve">Mampu </w:t>
            </w:r>
            <w:r>
              <w:rPr>
                <w:b/>
                <w:bCs/>
              </w:rPr>
              <w:t>menganalisis</w:t>
            </w:r>
            <w:r>
              <w:t xml:space="preserve"> Konsep dan Urgensi </w:t>
            </w:r>
            <w:r>
              <w:rPr>
                <w:b/>
                <w:bCs/>
              </w:rPr>
              <w:t>Hak Asasi Manusia (HAM)</w:t>
            </w:r>
            <w:r>
              <w:t xml:space="preserve"> dan </w:t>
            </w:r>
            <w:r>
              <w:rPr>
                <w:b/>
                <w:bCs/>
              </w:rPr>
              <w:t>Rule of Law (Negara Hukum)</w:t>
            </w:r>
            <w:r>
              <w:t xml:space="preserve"> serta penegakannya di Indonesia.</w:t>
            </w:r>
          </w:p>
        </w:tc>
      </w:tr>
      <w:tr w14:paraId="0BD13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C7DD54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526CE242">
            <w:pPr>
              <w:jc w:val="both"/>
              <w:rPr>
                <w:rFonts w:eastAsia="Calibri"/>
              </w:rPr>
            </w:pPr>
            <w:r>
              <w:rPr>
                <w:rFonts w:eastAsia="Calibri"/>
              </w:rPr>
              <w:t>Sub-CPMK</w:t>
            </w:r>
          </w:p>
        </w:tc>
        <w:tc>
          <w:tcPr>
            <w:tcW w:w="10081" w:type="dxa"/>
            <w:gridSpan w:val="13"/>
            <w:vAlign w:val="center"/>
          </w:tcPr>
          <w:p w14:paraId="3630DE69">
            <w:pPr>
              <w:jc w:val="both"/>
              <w:rPr>
                <w:rFonts w:eastAsia="Calibri"/>
              </w:rPr>
            </w:pPr>
            <w:r>
              <w:t xml:space="preserve">Mampu </w:t>
            </w:r>
            <w:r>
              <w:rPr>
                <w:b/>
                <w:bCs/>
              </w:rPr>
              <w:t>menganalisis</w:t>
            </w:r>
            <w:r>
              <w:t xml:space="preserve"> </w:t>
            </w:r>
            <w:r>
              <w:rPr>
                <w:b/>
                <w:bCs/>
              </w:rPr>
              <w:t>Wawasan Nusantara</w:t>
            </w:r>
            <w:r>
              <w:t xml:space="preserve"> sebagai Geopolitik Indonesia, termasuk tantangan K3 di berbagai wilayah geografis Indonesia.</w:t>
            </w:r>
          </w:p>
        </w:tc>
      </w:tr>
      <w:tr w14:paraId="05FD9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6F316C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76BCF481">
            <w:pPr>
              <w:jc w:val="both"/>
              <w:rPr>
                <w:rFonts w:eastAsia="Calibri"/>
              </w:rPr>
            </w:pPr>
            <w:r>
              <w:rPr>
                <w:rFonts w:eastAsia="Calibri"/>
              </w:rPr>
              <w:t>Sub-CPMK</w:t>
            </w:r>
          </w:p>
        </w:tc>
        <w:tc>
          <w:tcPr>
            <w:tcW w:w="10081" w:type="dxa"/>
            <w:gridSpan w:val="13"/>
            <w:vAlign w:val="center"/>
          </w:tcPr>
          <w:p w14:paraId="49FCE582">
            <w:pPr>
              <w:jc w:val="both"/>
              <w:rPr>
                <w:rFonts w:eastAsia="Calibri"/>
              </w:rPr>
            </w:pPr>
            <w:r>
              <w:t xml:space="preserve">Mampu </w:t>
            </w:r>
            <w:r>
              <w:rPr>
                <w:b/>
                <w:bCs/>
              </w:rPr>
              <w:t>menganalisis</w:t>
            </w:r>
            <w:r>
              <w:t xml:space="preserve"> </w:t>
            </w:r>
            <w:r>
              <w:rPr>
                <w:b/>
                <w:bCs/>
              </w:rPr>
              <w:t>Ketahanan Nasional</w:t>
            </w:r>
            <w:r>
              <w:t xml:space="preserve"> sebagai Geostrategi Indonesia, dan mengaitkannya dengan pembangunan berkelanjutan di sektor K3.</w:t>
            </w:r>
          </w:p>
        </w:tc>
      </w:tr>
      <w:tr w14:paraId="4B1B5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2B7A467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0CEEAEA9">
            <w:pPr>
              <w:jc w:val="both"/>
              <w:rPr>
                <w:rFonts w:eastAsia="Calibri"/>
              </w:rPr>
            </w:pPr>
            <w:r>
              <w:rPr>
                <w:rFonts w:eastAsia="Calibri"/>
              </w:rPr>
              <w:t>Sub-CPMK</w:t>
            </w:r>
          </w:p>
        </w:tc>
        <w:tc>
          <w:tcPr>
            <w:tcW w:w="10081" w:type="dxa"/>
            <w:gridSpan w:val="13"/>
            <w:vAlign w:val="center"/>
          </w:tcPr>
          <w:p w14:paraId="3BAF31EE">
            <w:pPr>
              <w:jc w:val="both"/>
              <w:rPr>
                <w:rFonts w:eastAsia="Calibri"/>
              </w:rPr>
            </w:pPr>
            <w:r>
              <w:t xml:space="preserve">Mampu </w:t>
            </w:r>
            <w:r>
              <w:rPr>
                <w:b/>
                <w:bCs/>
              </w:rPr>
              <w:t>menginternalisasi</w:t>
            </w:r>
            <w:r>
              <w:t xml:space="preserve"> nilai, etika, moral, dan karakter warga negara yang bertanggung jawab, profesional, dan disiplin dalam konteks profesi K3.</w:t>
            </w:r>
          </w:p>
        </w:tc>
      </w:tr>
      <w:tr w14:paraId="16009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44165D8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290F1DA6">
            <w:pPr>
              <w:jc w:val="both"/>
              <w:rPr>
                <w:rFonts w:eastAsia="Calibri"/>
              </w:rPr>
            </w:pPr>
            <w:r>
              <w:rPr>
                <w:rFonts w:eastAsia="Calibri"/>
              </w:rPr>
              <w:t>Sub-CPMK-</w:t>
            </w:r>
          </w:p>
        </w:tc>
        <w:tc>
          <w:tcPr>
            <w:tcW w:w="10081" w:type="dxa"/>
            <w:gridSpan w:val="13"/>
            <w:vAlign w:val="center"/>
          </w:tcPr>
          <w:p w14:paraId="43F12AB8">
            <w:pPr>
              <w:jc w:val="both"/>
              <w:rPr>
                <w:rFonts w:eastAsia="Calibri"/>
              </w:rPr>
            </w:pPr>
            <w:r>
              <w:t xml:space="preserve">Mampu </w:t>
            </w:r>
            <w:r>
              <w:rPr>
                <w:b/>
                <w:bCs/>
              </w:rPr>
              <w:t>menganalisis</w:t>
            </w:r>
            <w:r>
              <w:t xml:space="preserve"> konsep dan implementasi </w:t>
            </w:r>
            <w:r>
              <w:rPr>
                <w:b/>
                <w:bCs/>
              </w:rPr>
              <w:t>Bela Negara</w:t>
            </w:r>
            <w:r>
              <w:t xml:space="preserve"> sebagai komitmen kolektif, termasuk peran sarjana K3.</w:t>
            </w:r>
          </w:p>
        </w:tc>
      </w:tr>
      <w:tr w14:paraId="3D2B3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16C8337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196C1A4E">
            <w:pPr>
              <w:jc w:val="both"/>
              <w:rPr>
                <w:rFonts w:eastAsia="Calibri"/>
              </w:rPr>
            </w:pPr>
            <w:r>
              <w:rPr>
                <w:rFonts w:eastAsia="Calibri"/>
              </w:rPr>
              <w:t>Sub-CPMK</w:t>
            </w:r>
          </w:p>
        </w:tc>
        <w:tc>
          <w:tcPr>
            <w:tcW w:w="10081" w:type="dxa"/>
            <w:gridSpan w:val="13"/>
            <w:vAlign w:val="center"/>
          </w:tcPr>
          <w:p w14:paraId="6339D848">
            <w:pPr>
              <w:jc w:val="both"/>
              <w:rPr>
                <w:rFonts w:eastAsia="Calibri"/>
              </w:rPr>
            </w:pPr>
            <w:r>
              <w:t xml:space="preserve">Mampu </w:t>
            </w:r>
            <w:r>
              <w:rPr>
                <w:b/>
                <w:bCs/>
              </w:rPr>
              <w:t>menganalisis</w:t>
            </w:r>
            <w:r>
              <w:t xml:space="preserve"> isu-isu kontemporer kewarganegaraan (seperti korupsi, lingkungan hidup, dan digitalisasi) dalam perspektif nasionalisme K3.</w:t>
            </w:r>
          </w:p>
        </w:tc>
      </w:tr>
      <w:tr w14:paraId="5E4AF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8D3AE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276" w:type="dxa"/>
          </w:tcPr>
          <w:p w14:paraId="3BD8DBB4">
            <w:pPr>
              <w:jc w:val="both"/>
              <w:rPr>
                <w:rFonts w:eastAsia="Calibri"/>
              </w:rPr>
            </w:pPr>
            <w:r>
              <w:rPr>
                <w:rFonts w:eastAsia="Calibri"/>
              </w:rPr>
              <w:t>Sub-CPMK</w:t>
            </w:r>
          </w:p>
        </w:tc>
        <w:tc>
          <w:tcPr>
            <w:tcW w:w="10081" w:type="dxa"/>
            <w:gridSpan w:val="13"/>
            <w:vAlign w:val="center"/>
          </w:tcPr>
          <w:p w14:paraId="09716561">
            <w:pPr>
              <w:jc w:val="both"/>
              <w:rPr>
                <w:rFonts w:eastAsia="Calibri"/>
              </w:rPr>
            </w:pPr>
            <w:r>
              <w:t xml:space="preserve">Mampu </w:t>
            </w:r>
            <w:r>
              <w:rPr>
                <w:b/>
                <w:bCs/>
              </w:rPr>
              <w:t>mensintesiskan</w:t>
            </w:r>
            <w:r>
              <w:t xml:space="preserve"> seluruh materi kewarganegaraan dan menunjukkan implementasi sikap nasionalisme, hukum, dan etika dalam </w:t>
            </w:r>
            <w:r>
              <w:rPr>
                <w:b/>
                <w:bCs/>
              </w:rPr>
              <w:t>praktik K3 terpadu</w:t>
            </w:r>
            <w:r>
              <w:t>.</w:t>
            </w:r>
          </w:p>
        </w:tc>
      </w:tr>
      <w:tr w14:paraId="3D0E2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2F91007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650" w:type="dxa"/>
            <w:gridSpan w:val="6"/>
            <w:shd w:val="clear" w:color="auto" w:fill="BFBFBF"/>
          </w:tcPr>
          <w:p w14:paraId="68CB1C22">
            <w:pPr>
              <w:jc w:val="both"/>
              <w:rPr>
                <w:rFonts w:eastAsia="Calibri"/>
                <w:b/>
                <w:lang w:val="sv-SE"/>
              </w:rPr>
            </w:pPr>
            <w:r>
              <w:rPr>
                <w:rFonts w:eastAsia="Calibri"/>
                <w:b/>
                <w:lang w:val="sv-SE"/>
              </w:rPr>
              <w:t>Korelasi CPMK terhadap Sub-CPMK</w:t>
            </w:r>
          </w:p>
        </w:tc>
        <w:tc>
          <w:tcPr>
            <w:tcW w:w="5707" w:type="dxa"/>
            <w:gridSpan w:val="8"/>
          </w:tcPr>
          <w:p w14:paraId="530334D1">
            <w:pPr>
              <w:jc w:val="both"/>
              <w:rPr>
                <w:rFonts w:eastAsia="Calibri"/>
                <w:lang w:val="sv-SE"/>
              </w:rPr>
            </w:pPr>
          </w:p>
        </w:tc>
      </w:tr>
      <w:tr w14:paraId="7BD21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63315953">
            <w:pPr>
              <w:rPr>
                <w:rFonts w:eastAsia="Calibri"/>
                <w:b/>
                <w:lang w:val="sv-SE"/>
              </w:rPr>
            </w:pPr>
          </w:p>
        </w:tc>
        <w:tc>
          <w:tcPr>
            <w:tcW w:w="11357" w:type="dxa"/>
            <w:gridSpan w:val="14"/>
          </w:tcPr>
          <w:p w14:paraId="773CB7C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lang w:val="sv-SE"/>
              </w:rPr>
            </w:pPr>
          </w:p>
          <w:tbl>
            <w:tblPr>
              <w:tblStyle w:val="12"/>
              <w:tblW w:w="11126" w:type="dxa"/>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CellMar>
                <w:top w:w="0" w:type="dxa"/>
                <w:left w:w="108" w:type="dxa"/>
                <w:bottom w:w="0" w:type="dxa"/>
                <w:right w:w="108" w:type="dxa"/>
              </w:tblCellMar>
            </w:tblPr>
            <w:tblGrid>
              <w:gridCol w:w="1851"/>
              <w:gridCol w:w="1302"/>
              <w:gridCol w:w="1852"/>
              <w:gridCol w:w="1141"/>
              <w:gridCol w:w="1852"/>
              <w:gridCol w:w="1392"/>
              <w:gridCol w:w="1736"/>
            </w:tblGrid>
            <w:tr w14:paraId="5D37344F">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c>
                <w:tcPr>
                  <w:tcW w:w="1851" w:type="dxa"/>
                </w:tcPr>
                <w:p w14:paraId="6F63BD23">
                  <w:pPr>
                    <w:jc w:val="both"/>
                    <w:rPr>
                      <w:lang w:val="sv-SE"/>
                    </w:rPr>
                  </w:pPr>
                </w:p>
              </w:tc>
              <w:tc>
                <w:tcPr>
                  <w:tcW w:w="1302" w:type="dxa"/>
                </w:tcPr>
                <w:p w14:paraId="605BD230">
                  <w:pPr>
                    <w:jc w:val="both"/>
                    <w:rPr>
                      <w:b/>
                    </w:rPr>
                  </w:pPr>
                  <w:r>
                    <w:rPr>
                      <w:b/>
                    </w:rPr>
                    <w:t>Sub-CPMK1</w:t>
                  </w:r>
                </w:p>
              </w:tc>
              <w:tc>
                <w:tcPr>
                  <w:tcW w:w="1852" w:type="dxa"/>
                </w:tcPr>
                <w:p w14:paraId="3D9B599F">
                  <w:pPr>
                    <w:jc w:val="both"/>
                    <w:rPr>
                      <w:b/>
                    </w:rPr>
                  </w:pPr>
                  <w:r>
                    <w:rPr>
                      <w:b/>
                    </w:rPr>
                    <w:t>Sub-CPMK2</w:t>
                  </w:r>
                </w:p>
              </w:tc>
              <w:tc>
                <w:tcPr>
                  <w:tcW w:w="1141" w:type="dxa"/>
                </w:tcPr>
                <w:p w14:paraId="0BCA0EF8">
                  <w:pPr>
                    <w:jc w:val="both"/>
                    <w:rPr>
                      <w:b/>
                    </w:rPr>
                  </w:pPr>
                  <w:r>
                    <w:rPr>
                      <w:b/>
                    </w:rPr>
                    <w:t>Sub-CPMK3</w:t>
                  </w:r>
                </w:p>
              </w:tc>
              <w:tc>
                <w:tcPr>
                  <w:tcW w:w="1852" w:type="dxa"/>
                </w:tcPr>
                <w:p w14:paraId="61ACEA47">
                  <w:pPr>
                    <w:jc w:val="both"/>
                    <w:rPr>
                      <w:b/>
                    </w:rPr>
                  </w:pPr>
                  <w:r>
                    <w:rPr>
                      <w:b/>
                    </w:rPr>
                    <w:t>Sub-CPMK4</w:t>
                  </w:r>
                </w:p>
              </w:tc>
              <w:tc>
                <w:tcPr>
                  <w:tcW w:w="1392" w:type="dxa"/>
                </w:tcPr>
                <w:p w14:paraId="41A489BF">
                  <w:pPr>
                    <w:jc w:val="both"/>
                    <w:rPr>
                      <w:b/>
                    </w:rPr>
                  </w:pPr>
                  <w:r>
                    <w:rPr>
                      <w:b/>
                    </w:rPr>
                    <w:t>Sub-CPMK5</w:t>
                  </w:r>
                </w:p>
              </w:tc>
              <w:tc>
                <w:tcPr>
                  <w:tcW w:w="1736" w:type="dxa"/>
                </w:tcPr>
                <w:p w14:paraId="60454A10">
                  <w:pPr>
                    <w:jc w:val="both"/>
                  </w:pPr>
                  <w:r>
                    <w:rPr>
                      <w:b/>
                    </w:rPr>
                    <w:t>Sub-CPMK6-14</w:t>
                  </w:r>
                </w:p>
              </w:tc>
            </w:tr>
            <w:tr w14:paraId="4FBD6864">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c>
                <w:tcPr>
                  <w:tcW w:w="1851" w:type="dxa"/>
                </w:tcPr>
                <w:p w14:paraId="29DE9524">
                  <w:pPr>
                    <w:jc w:val="both"/>
                    <w:rPr>
                      <w:b/>
                    </w:rPr>
                  </w:pPr>
                  <w:r>
                    <w:rPr>
                      <w:b/>
                    </w:rPr>
                    <w:t>CPMK1</w:t>
                  </w:r>
                </w:p>
              </w:tc>
              <w:tc>
                <w:tcPr>
                  <w:tcW w:w="1302" w:type="dxa"/>
                </w:tcPr>
                <w:p w14:paraId="5B0C42C5">
                  <w:pPr>
                    <w:jc w:val="both"/>
                  </w:pPr>
                  <w:r>
                    <w:rPr>
                      <w:rFonts w:ascii="Segoe UI Symbol" w:hAnsi="Segoe UI Symbol" w:cs="Segoe UI Symbol"/>
                    </w:rPr>
                    <w:t>✔</w:t>
                  </w:r>
                </w:p>
              </w:tc>
              <w:tc>
                <w:tcPr>
                  <w:tcW w:w="1852" w:type="dxa"/>
                </w:tcPr>
                <w:p w14:paraId="006A5E5B">
                  <w:pPr>
                    <w:jc w:val="both"/>
                  </w:pPr>
                  <w:r>
                    <w:rPr>
                      <w:rFonts w:ascii="Segoe UI Symbol" w:hAnsi="Segoe UI Symbol" w:cs="Segoe UI Symbol"/>
                    </w:rPr>
                    <w:t>✔</w:t>
                  </w:r>
                </w:p>
              </w:tc>
              <w:tc>
                <w:tcPr>
                  <w:tcW w:w="1141" w:type="dxa"/>
                </w:tcPr>
                <w:p w14:paraId="0BB273EC">
                  <w:pPr>
                    <w:jc w:val="both"/>
                  </w:pPr>
                  <w:r>
                    <w:rPr>
                      <w:rFonts w:ascii="Segoe UI Symbol" w:hAnsi="Segoe UI Symbol" w:cs="Segoe UI Symbol"/>
                    </w:rPr>
                    <w:t>✔</w:t>
                  </w:r>
                </w:p>
              </w:tc>
              <w:tc>
                <w:tcPr>
                  <w:tcW w:w="1852" w:type="dxa"/>
                </w:tcPr>
                <w:p w14:paraId="5815D450">
                  <w:pPr>
                    <w:jc w:val="both"/>
                  </w:pPr>
                  <w:r>
                    <w:rPr>
                      <w:rFonts w:ascii="Segoe UI Symbol" w:hAnsi="Segoe UI Symbol" w:cs="Segoe UI Symbol"/>
                    </w:rPr>
                    <w:t>✔</w:t>
                  </w:r>
                </w:p>
              </w:tc>
              <w:tc>
                <w:tcPr>
                  <w:tcW w:w="1392" w:type="dxa"/>
                  <w:vAlign w:val="center"/>
                </w:tcPr>
                <w:p w14:paraId="587EF384">
                  <w:pPr>
                    <w:jc w:val="both"/>
                  </w:pPr>
                </w:p>
              </w:tc>
              <w:tc>
                <w:tcPr>
                  <w:tcW w:w="1736" w:type="dxa"/>
                </w:tcPr>
                <w:p w14:paraId="1950E712">
                  <w:pPr>
                    <w:jc w:val="both"/>
                  </w:pPr>
                </w:p>
              </w:tc>
            </w:tr>
            <w:tr w14:paraId="049EFCA6">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50" w:hRule="atLeast"/>
              </w:trPr>
              <w:tc>
                <w:tcPr>
                  <w:tcW w:w="1851" w:type="dxa"/>
                </w:tcPr>
                <w:p w14:paraId="305AAFC7">
                  <w:pPr>
                    <w:jc w:val="both"/>
                    <w:rPr>
                      <w:b/>
                    </w:rPr>
                  </w:pPr>
                  <w:r>
                    <w:rPr>
                      <w:b/>
                    </w:rPr>
                    <w:t>CPMK2</w:t>
                  </w:r>
                </w:p>
              </w:tc>
              <w:tc>
                <w:tcPr>
                  <w:tcW w:w="1302" w:type="dxa"/>
                </w:tcPr>
                <w:p w14:paraId="22162AE7">
                  <w:pPr>
                    <w:jc w:val="both"/>
                  </w:pPr>
                </w:p>
              </w:tc>
              <w:tc>
                <w:tcPr>
                  <w:tcW w:w="1852" w:type="dxa"/>
                </w:tcPr>
                <w:p w14:paraId="4778AFF1">
                  <w:pPr>
                    <w:jc w:val="both"/>
                  </w:pPr>
                </w:p>
              </w:tc>
              <w:tc>
                <w:tcPr>
                  <w:tcW w:w="1141" w:type="dxa"/>
                </w:tcPr>
                <w:p w14:paraId="7C028A16">
                  <w:pPr>
                    <w:jc w:val="both"/>
                  </w:pPr>
                </w:p>
              </w:tc>
              <w:tc>
                <w:tcPr>
                  <w:tcW w:w="1852" w:type="dxa"/>
                  <w:vAlign w:val="center"/>
                </w:tcPr>
                <w:p w14:paraId="08787085">
                  <w:pPr>
                    <w:jc w:val="both"/>
                  </w:pPr>
                </w:p>
              </w:tc>
              <w:tc>
                <w:tcPr>
                  <w:tcW w:w="1392" w:type="dxa"/>
                </w:tcPr>
                <w:p w14:paraId="0F8161FB">
                  <w:pPr>
                    <w:jc w:val="both"/>
                  </w:pPr>
                  <w:r>
                    <w:rPr>
                      <w:rFonts w:ascii="Segoe UI Symbol" w:hAnsi="Segoe UI Symbol" w:cs="Segoe UI Symbol"/>
                    </w:rPr>
                    <w:t>✔</w:t>
                  </w:r>
                </w:p>
              </w:tc>
              <w:tc>
                <w:tcPr>
                  <w:tcW w:w="1736" w:type="dxa"/>
                </w:tcPr>
                <w:p w14:paraId="71988E7B">
                  <w:pPr>
                    <w:jc w:val="both"/>
                  </w:pPr>
                  <w:r>
                    <w:rPr>
                      <w:rFonts w:ascii="Segoe UI Symbol" w:hAnsi="Segoe UI Symbol" w:cs="Segoe UI Symbol"/>
                    </w:rPr>
                    <w:t>✔-8✔</w:t>
                  </w:r>
                </w:p>
              </w:tc>
            </w:tr>
            <w:tr w14:paraId="053C4E5A">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73" w:hRule="atLeast"/>
              </w:trPr>
              <w:tc>
                <w:tcPr>
                  <w:tcW w:w="1851" w:type="dxa"/>
                </w:tcPr>
                <w:p w14:paraId="624F1870">
                  <w:pPr>
                    <w:jc w:val="both"/>
                    <w:rPr>
                      <w:b/>
                    </w:rPr>
                  </w:pPr>
                  <w:r>
                    <w:rPr>
                      <w:b/>
                    </w:rPr>
                    <w:t>CPMK3</w:t>
                  </w:r>
                </w:p>
              </w:tc>
              <w:tc>
                <w:tcPr>
                  <w:tcW w:w="1302" w:type="dxa"/>
                  <w:vAlign w:val="center"/>
                </w:tcPr>
                <w:p w14:paraId="0F695A01">
                  <w:pPr>
                    <w:jc w:val="both"/>
                  </w:pPr>
                </w:p>
              </w:tc>
              <w:tc>
                <w:tcPr>
                  <w:tcW w:w="1852" w:type="dxa"/>
                </w:tcPr>
                <w:p w14:paraId="57AE9F9E">
                  <w:pPr>
                    <w:jc w:val="both"/>
                  </w:pPr>
                </w:p>
              </w:tc>
              <w:tc>
                <w:tcPr>
                  <w:tcW w:w="1141" w:type="dxa"/>
                </w:tcPr>
                <w:p w14:paraId="612E66A2">
                  <w:pPr>
                    <w:jc w:val="both"/>
                  </w:pPr>
                </w:p>
              </w:tc>
              <w:tc>
                <w:tcPr>
                  <w:tcW w:w="1852" w:type="dxa"/>
                </w:tcPr>
                <w:p w14:paraId="4C2446D1">
                  <w:pPr>
                    <w:jc w:val="both"/>
                  </w:pPr>
                </w:p>
              </w:tc>
              <w:tc>
                <w:tcPr>
                  <w:tcW w:w="1392" w:type="dxa"/>
                </w:tcPr>
                <w:p w14:paraId="26BDA455">
                  <w:pPr>
                    <w:jc w:val="both"/>
                  </w:pPr>
                </w:p>
              </w:tc>
              <w:tc>
                <w:tcPr>
                  <w:tcW w:w="1736" w:type="dxa"/>
                </w:tcPr>
                <w:p w14:paraId="545613A4">
                  <w:pPr>
                    <w:jc w:val="both"/>
                  </w:pPr>
                  <w:r>
                    <w:rPr>
                      <w:rFonts w:ascii="Segoe UI Symbol" w:hAnsi="Segoe UI Symbol" w:cs="Segoe UI Symbol"/>
                    </w:rPr>
                    <w:t>✔</w:t>
                  </w:r>
                  <w:r>
                    <w:t>9-14</w:t>
                  </w:r>
                  <w:r>
                    <w:rPr>
                      <w:rFonts w:ascii="Segoe UI Symbol" w:hAnsi="Segoe UI Symbol" w:cs="Segoe UI Symbol"/>
                    </w:rPr>
                    <w:t>✔</w:t>
                  </w:r>
                </w:p>
              </w:tc>
            </w:tr>
          </w:tbl>
          <w:p w14:paraId="7A00628F">
            <w:pPr>
              <w:jc w:val="both"/>
              <w:rPr>
                <w:rFonts w:eastAsia="Calibri"/>
              </w:rPr>
            </w:pPr>
          </w:p>
        </w:tc>
      </w:tr>
      <w:tr w14:paraId="70679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549" w:type="dxa"/>
            <w:gridSpan w:val="2"/>
          </w:tcPr>
          <w:p w14:paraId="4508210C">
            <w:pPr>
              <w:rPr>
                <w:rFonts w:eastAsia="Calibri"/>
                <w:b/>
              </w:rPr>
            </w:pPr>
            <w:r>
              <w:rPr>
                <w:rFonts w:eastAsia="Calibri"/>
                <w:b/>
              </w:rPr>
              <w:t>Deskripsi Singkat MK</w:t>
            </w:r>
          </w:p>
        </w:tc>
        <w:tc>
          <w:tcPr>
            <w:tcW w:w="11357" w:type="dxa"/>
            <w:gridSpan w:val="14"/>
          </w:tcPr>
          <w:p w14:paraId="63E8ADFC">
            <w:pPr>
              <w:jc w:val="both"/>
              <w:rPr>
                <w:rFonts w:eastAsia="Calibri"/>
                <w:lang w:val="sv-SE"/>
              </w:rPr>
            </w:pPr>
            <w:r>
              <w:rPr>
                <w:rFonts w:eastAsia="Calibri"/>
              </w:rPr>
              <w:t xml:space="preserve">Mata kuliah Kewarganegaraan ini bertujuan membentuk lulusan K3 menjadi </w:t>
            </w:r>
            <w:r>
              <w:rPr>
                <w:rFonts w:eastAsia="Calibri"/>
                <w:b/>
                <w:bCs/>
              </w:rPr>
              <w:t>warga negara yang cerdas dan baik (</w:t>
            </w:r>
            <w:r>
              <w:rPr>
                <w:rFonts w:eastAsia="Calibri"/>
                <w:b/>
                <w:bCs/>
                <w:i/>
                <w:iCs/>
              </w:rPr>
              <w:t>smart and good citizen</w:t>
            </w:r>
            <w:r>
              <w:rPr>
                <w:rFonts w:eastAsia="Calibri"/>
                <w:b/>
                <w:bCs/>
              </w:rPr>
              <w:t>)</w:t>
            </w:r>
            <w:r>
              <w:rPr>
                <w:rFonts w:eastAsia="Calibri"/>
              </w:rPr>
              <w:t xml:space="preserve">, yang memiliki kesadaran berbangsa dan bernegara, menjunjung tinggi nilai-nilai kemanusiaan, hukum, demokrasi, dan nasionalisme. Kajian difokuskan pada konsep-konsep dasar seperti Identitas Nasional, Konstitusi, Demokrasi, HAM, serta Ketahanan Nasional, dengan penekanan pada </w:t>
            </w:r>
            <w:r>
              <w:rPr>
                <w:rFonts w:eastAsia="Calibri"/>
                <w:b/>
                <w:bCs/>
              </w:rPr>
              <w:t>penerapan etika, norma hukum, dan tanggung jawab kebangsaan dalam konteks praktik Keselamatan dan Kesehatan Kerja (K3)</w:t>
            </w:r>
            <w:r>
              <w:rPr>
                <w:rFonts w:eastAsia="Calibri"/>
              </w:rPr>
              <w:t>.</w:t>
            </w:r>
          </w:p>
        </w:tc>
      </w:tr>
      <w:tr w14:paraId="4D471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549" w:type="dxa"/>
            <w:gridSpan w:val="2"/>
          </w:tcPr>
          <w:p w14:paraId="22FC7A66">
            <w:pPr>
              <w:rPr>
                <w:rFonts w:eastAsia="Calibri"/>
                <w:b/>
              </w:rPr>
            </w:pPr>
            <w:r>
              <w:rPr>
                <w:rFonts w:eastAsia="Calibri"/>
                <w:b/>
              </w:rPr>
              <w:t xml:space="preserve">Bahan Kajian: </w:t>
            </w:r>
          </w:p>
          <w:p w14:paraId="04B8D2C4">
            <w:pPr>
              <w:rPr>
                <w:rFonts w:eastAsia="Calibri"/>
                <w:b/>
              </w:rPr>
            </w:pPr>
          </w:p>
          <w:p w14:paraId="1AA01D54">
            <w:pPr>
              <w:rPr>
                <w:rFonts w:eastAsia="Calibri"/>
                <w:b/>
              </w:rPr>
            </w:pPr>
          </w:p>
          <w:p w14:paraId="51A1E72C">
            <w:pPr>
              <w:rPr>
                <w:rFonts w:eastAsia="Calibri"/>
                <w:b/>
              </w:rPr>
            </w:pPr>
            <w:r>
              <w:rPr>
                <w:rFonts w:eastAsia="Calibri"/>
                <w:b/>
              </w:rPr>
              <w:t>Materi Pembelajaran</w:t>
            </w:r>
          </w:p>
        </w:tc>
        <w:tc>
          <w:tcPr>
            <w:tcW w:w="11357" w:type="dxa"/>
            <w:gridSpan w:val="14"/>
          </w:tcPr>
          <w:p w14:paraId="3E7E73AA">
            <w:pPr>
              <w:pStyle w:val="33"/>
              <w:numPr>
                <w:ilvl w:val="0"/>
                <w:numId w:val="1"/>
              </w:numPr>
              <w:ind w:left="358" w:hanging="358"/>
            </w:pPr>
            <w:r>
              <w:t>Konstitusi, Demokrasi, HAM</w:t>
            </w:r>
          </w:p>
          <w:p w14:paraId="00205338">
            <w:pPr>
              <w:pStyle w:val="33"/>
              <w:numPr>
                <w:ilvl w:val="0"/>
                <w:numId w:val="1"/>
              </w:numPr>
              <w:ind w:left="358" w:hanging="358"/>
            </w:pPr>
            <w:r>
              <w:t>Wawasan Nusantara dan Ketahanan Nasional</w:t>
            </w:r>
          </w:p>
          <w:p w14:paraId="00837D26">
            <w:pPr>
              <w:tabs>
                <w:tab w:val="left" w:pos="4550"/>
              </w:tabs>
            </w:pPr>
            <w:r>
              <w:tab/>
            </w:r>
          </w:p>
          <w:p w14:paraId="21EF4048">
            <w:pPr>
              <w:pStyle w:val="33"/>
              <w:numPr>
                <w:ilvl w:val="0"/>
                <w:numId w:val="2"/>
              </w:numPr>
              <w:tabs>
                <w:tab w:val="left" w:pos="4550"/>
              </w:tabs>
              <w:ind w:left="358"/>
            </w:pPr>
            <w:r>
              <w:t>UUD 1945, Demokrasi Pancasila, Hak Asasi Manusia dan Rule of Law, Etika Warga Negara</w:t>
            </w:r>
          </w:p>
          <w:p w14:paraId="4B2E60DF">
            <w:pPr>
              <w:pStyle w:val="33"/>
              <w:numPr>
                <w:ilvl w:val="0"/>
                <w:numId w:val="2"/>
              </w:numPr>
              <w:tabs>
                <w:tab w:val="left" w:pos="4550"/>
              </w:tabs>
              <w:ind w:left="358"/>
            </w:pPr>
            <w:r>
              <w:t>Geopolitik dan Geostrategi Indonesia, Bela Negara</w:t>
            </w:r>
          </w:p>
        </w:tc>
      </w:tr>
      <w:tr w14:paraId="736EF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restart"/>
          </w:tcPr>
          <w:p w14:paraId="3B0A8BA3">
            <w:pPr>
              <w:rPr>
                <w:rFonts w:eastAsia="Calibri"/>
                <w:b/>
              </w:rPr>
            </w:pPr>
            <w:r>
              <w:rPr>
                <w:rFonts w:eastAsia="Calibri"/>
                <w:b/>
              </w:rPr>
              <w:t>Pustaka</w:t>
            </w:r>
          </w:p>
        </w:tc>
        <w:tc>
          <w:tcPr>
            <w:tcW w:w="2374" w:type="dxa"/>
            <w:gridSpan w:val="2"/>
            <w:tcBorders>
              <w:bottom w:val="single" w:color="000000" w:sz="8" w:space="0"/>
            </w:tcBorders>
            <w:shd w:val="clear" w:color="auto" w:fill="E7E6E6"/>
          </w:tcPr>
          <w:p w14:paraId="1E9BCEAC">
            <w:pPr>
              <w:ind w:left="26"/>
              <w:rPr>
                <w:rFonts w:eastAsia="Calibri"/>
                <w:b/>
              </w:rPr>
            </w:pPr>
            <w:r>
              <w:rPr>
                <w:rFonts w:eastAsia="Calibri"/>
                <w:b/>
              </w:rPr>
              <w:t>Utama:</w:t>
            </w:r>
          </w:p>
        </w:tc>
        <w:tc>
          <w:tcPr>
            <w:tcW w:w="8983" w:type="dxa"/>
            <w:gridSpan w:val="12"/>
            <w:tcBorders>
              <w:bottom w:val="single" w:color="000000" w:sz="4" w:space="0"/>
            </w:tcBorders>
          </w:tcPr>
          <w:p w14:paraId="5A5469E2">
            <w:pPr>
              <w:ind w:left="26"/>
              <w:rPr>
                <w:rFonts w:eastAsia="Calibri"/>
                <w:b/>
              </w:rPr>
            </w:pPr>
          </w:p>
        </w:tc>
      </w:tr>
      <w:tr w14:paraId="4A7B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2C5113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1357" w:type="dxa"/>
            <w:gridSpan w:val="14"/>
          </w:tcPr>
          <w:p w14:paraId="059F58F1">
            <w:pPr>
              <w:pStyle w:val="33"/>
              <w:numPr>
                <w:ilvl w:val="0"/>
                <w:numId w:val="3"/>
              </w:numPr>
              <w:ind w:left="217" w:hanging="217"/>
              <w:rPr>
                <w:rFonts w:eastAsia="Calibri"/>
                <w:color w:val="000000"/>
                <w:lang w:val="zh-CN"/>
              </w:rPr>
            </w:pPr>
            <w:r>
              <w:rPr>
                <w:rFonts w:eastAsia="Calibri"/>
                <w:color w:val="000000"/>
                <w:lang w:val="zh-CN"/>
              </w:rPr>
              <w:t xml:space="preserve">Kementerian Riset, Teknologi, dan Pendidikan Tinggi. (2016). </w:t>
            </w:r>
            <w:r>
              <w:rPr>
                <w:rFonts w:eastAsia="Calibri"/>
                <w:i/>
                <w:iCs/>
                <w:color w:val="000000"/>
                <w:lang w:val="zh-CN"/>
              </w:rPr>
              <w:t>Pendidikan Kewarganegaraan untuk Perguruan Tinggi</w:t>
            </w:r>
            <w:r>
              <w:rPr>
                <w:rFonts w:eastAsia="Calibri"/>
                <w:color w:val="000000"/>
                <w:lang w:val="zh-CN"/>
              </w:rPr>
              <w:t>. Direktorat Jenderal Pembelajaran dan Kemahasiswaan.</w:t>
            </w:r>
          </w:p>
          <w:p w14:paraId="4D23C880">
            <w:pPr>
              <w:pStyle w:val="33"/>
              <w:numPr>
                <w:ilvl w:val="0"/>
                <w:numId w:val="3"/>
              </w:numPr>
              <w:ind w:left="217" w:hanging="217"/>
              <w:rPr>
                <w:rFonts w:eastAsia="Calibri"/>
                <w:color w:val="000000"/>
                <w:lang w:val="zh-CN"/>
              </w:rPr>
            </w:pPr>
            <w:r>
              <w:rPr>
                <w:rFonts w:eastAsia="Calibri"/>
                <w:color w:val="000000"/>
                <w:lang w:val="zh-CN"/>
              </w:rPr>
              <w:t>Undang-Undang Dasar Negara Republik Indonesia Tahun 1945.</w:t>
            </w:r>
          </w:p>
          <w:p w14:paraId="5D3161A3">
            <w:pPr>
              <w:pStyle w:val="33"/>
              <w:numPr>
                <w:ilvl w:val="0"/>
                <w:numId w:val="3"/>
              </w:numPr>
              <w:ind w:left="217" w:hanging="217"/>
              <w:rPr>
                <w:rFonts w:eastAsia="Calibri"/>
                <w:color w:val="000000"/>
                <w:lang w:val="zh-CN"/>
              </w:rPr>
            </w:pPr>
            <w:r>
              <w:rPr>
                <w:rFonts w:eastAsia="Calibri"/>
                <w:color w:val="000000"/>
                <w:lang w:val="zh-CN"/>
              </w:rPr>
              <w:t>Undang-Undang terkait (misalnya: UU No. 39 Tahun 1999 tentang HAM, UU No. 12 Tahun 2006 tentang Kewarganegaraan, UU No. 13 Tahun 2003 tentang Ketenagakerjaan).</w:t>
            </w:r>
          </w:p>
        </w:tc>
      </w:tr>
      <w:tr w14:paraId="218A8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7FD3924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color w:val="000000"/>
                <w:lang w:val="sv-SE"/>
              </w:rPr>
            </w:pPr>
          </w:p>
        </w:tc>
        <w:tc>
          <w:tcPr>
            <w:tcW w:w="2374" w:type="dxa"/>
            <w:gridSpan w:val="2"/>
            <w:tcBorders>
              <w:top w:val="single" w:color="000000" w:sz="8" w:space="0"/>
            </w:tcBorders>
            <w:shd w:val="clear" w:color="auto" w:fill="E7E6E6"/>
          </w:tcPr>
          <w:p w14:paraId="729F3535">
            <w:pPr>
              <w:rPr>
                <w:rFonts w:eastAsia="Calibri"/>
              </w:rPr>
            </w:pPr>
            <w:r>
              <w:rPr>
                <w:rFonts w:eastAsia="Calibri"/>
                <w:b/>
                <w:color w:val="000000"/>
              </w:rPr>
              <w:t>Pendukung:</w:t>
            </w:r>
          </w:p>
        </w:tc>
        <w:tc>
          <w:tcPr>
            <w:tcW w:w="8983" w:type="dxa"/>
            <w:gridSpan w:val="12"/>
            <w:tcBorders>
              <w:top w:val="single" w:color="FFFFFF" w:sz="8" w:space="0"/>
            </w:tcBorders>
          </w:tcPr>
          <w:p w14:paraId="60C931DB">
            <w:pPr>
              <w:rPr>
                <w:rFonts w:eastAsia="Calibri"/>
              </w:rPr>
            </w:pPr>
          </w:p>
        </w:tc>
      </w:tr>
      <w:tr w14:paraId="67492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549" w:type="dxa"/>
            <w:gridSpan w:val="2"/>
            <w:vMerge w:val="continue"/>
          </w:tcPr>
          <w:p w14:paraId="5A281C7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1357" w:type="dxa"/>
            <w:gridSpan w:val="14"/>
          </w:tcPr>
          <w:p w14:paraId="4E3C661B">
            <w:pPr>
              <w:pStyle w:val="33"/>
              <w:numPr>
                <w:ilvl w:val="0"/>
                <w:numId w:val="4"/>
              </w:numPr>
              <w:tabs>
                <w:tab w:val="left" w:pos="0"/>
              </w:tabs>
              <w:ind w:left="217" w:hanging="217"/>
              <w:rPr>
                <w:rFonts w:eastAsia="Calibri"/>
                <w:lang w:val="zh-CN"/>
              </w:rPr>
            </w:pPr>
            <w:r>
              <w:rPr>
                <w:rFonts w:eastAsia="Calibri"/>
                <w:lang w:val="zh-CN"/>
              </w:rPr>
              <w:t>Modul atau buku ajar Kewarganegaraan yang diterbitkan oleh institusi perguruan tinggi atau penerbit kredibel.</w:t>
            </w:r>
          </w:p>
          <w:p w14:paraId="7E260075">
            <w:pPr>
              <w:pStyle w:val="33"/>
              <w:numPr>
                <w:ilvl w:val="0"/>
                <w:numId w:val="4"/>
              </w:numPr>
              <w:tabs>
                <w:tab w:val="left" w:pos="0"/>
              </w:tabs>
              <w:ind w:left="217" w:hanging="217"/>
              <w:rPr>
                <w:rFonts w:eastAsia="Calibri"/>
                <w:lang w:val="zh-CN"/>
              </w:rPr>
            </w:pPr>
            <w:r>
              <w:rPr>
                <w:rFonts w:eastAsia="Calibri"/>
                <w:lang w:val="zh-CN"/>
              </w:rPr>
              <w:t>Jurnal ilmiah dan hasil penelitian yang relevan dengan isu-isu kontemporer Kewarganegaraan dan hubungannya dengan konteks K3.</w:t>
            </w:r>
          </w:p>
          <w:p w14:paraId="4FD98827">
            <w:pPr>
              <w:pStyle w:val="33"/>
              <w:numPr>
                <w:ilvl w:val="0"/>
                <w:numId w:val="4"/>
              </w:numPr>
              <w:tabs>
                <w:tab w:val="left" w:pos="0"/>
              </w:tabs>
              <w:ind w:left="217" w:hanging="217"/>
              <w:rPr>
                <w:rFonts w:eastAsia="Calibri"/>
                <w:lang w:val="zh-CN"/>
              </w:rPr>
            </w:pPr>
            <w:r>
              <w:rPr>
                <w:rFonts w:eastAsia="Calibri"/>
                <w:lang w:val="zh-CN"/>
              </w:rPr>
              <w:t>Peraturan dan regulasi K3 yang relevan dengan Hak dan Kewajiban Warga Negara.</w:t>
            </w:r>
          </w:p>
        </w:tc>
      </w:tr>
      <w:tr w14:paraId="7B1AC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7CA2576F">
            <w:pPr>
              <w:rPr>
                <w:rFonts w:eastAsia="Calibri"/>
                <w:b/>
              </w:rPr>
            </w:pPr>
            <w:r>
              <w:rPr>
                <w:rFonts w:eastAsia="Calibri"/>
                <w:b/>
              </w:rPr>
              <w:t>Dosen Pengampu</w:t>
            </w:r>
          </w:p>
        </w:tc>
        <w:tc>
          <w:tcPr>
            <w:tcW w:w="11357" w:type="dxa"/>
            <w:gridSpan w:val="14"/>
          </w:tcPr>
          <w:p w14:paraId="1D4B5C90">
            <w:pPr>
              <w:pStyle w:val="33"/>
              <w:numPr>
                <w:ilvl w:val="0"/>
                <w:numId w:val="5"/>
              </w:numPr>
              <w:ind w:left="358"/>
              <w:rPr>
                <w:rFonts w:eastAsia="Calibri"/>
                <w:lang w:val="sv-SE"/>
              </w:rPr>
            </w:pPr>
          </w:p>
          <w:p w14:paraId="7B014757">
            <w:pPr>
              <w:pStyle w:val="33"/>
              <w:numPr>
                <w:ilvl w:val="0"/>
                <w:numId w:val="5"/>
              </w:numPr>
              <w:ind w:left="358"/>
              <w:rPr>
                <w:rFonts w:eastAsia="Calibri"/>
                <w:lang w:val="sv-SE"/>
              </w:rPr>
            </w:pPr>
          </w:p>
        </w:tc>
      </w:tr>
      <w:tr w14:paraId="01A8F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7F67DB57">
            <w:pPr>
              <w:rPr>
                <w:rFonts w:eastAsia="Calibri"/>
                <w:b/>
              </w:rPr>
            </w:pPr>
            <w:r>
              <w:rPr>
                <w:rFonts w:eastAsia="Calibri"/>
                <w:b/>
              </w:rPr>
              <w:t>Modalitas dan Matakuliah prasyarat</w:t>
            </w:r>
          </w:p>
          <w:p w14:paraId="6C871FA1">
            <w:pPr>
              <w:rPr>
                <w:rFonts w:eastAsia="Calibri"/>
                <w:b/>
              </w:rPr>
            </w:pPr>
          </w:p>
          <w:p w14:paraId="0880F9D8">
            <w:pPr>
              <w:rPr>
                <w:rFonts w:eastAsia="Calibri"/>
                <w:b/>
              </w:rPr>
            </w:pPr>
          </w:p>
          <w:p w14:paraId="4D01765D">
            <w:pPr>
              <w:rPr>
                <w:rFonts w:eastAsia="Calibri"/>
                <w:b/>
              </w:rPr>
            </w:pPr>
          </w:p>
        </w:tc>
        <w:tc>
          <w:tcPr>
            <w:tcW w:w="11357" w:type="dxa"/>
            <w:gridSpan w:val="14"/>
          </w:tcPr>
          <w:p w14:paraId="3084C261">
            <w:pPr>
              <w:pStyle w:val="33"/>
              <w:ind w:left="358"/>
              <w:rPr>
                <w:rFonts w:eastAsia="Calibri"/>
              </w:rPr>
            </w:pPr>
          </w:p>
          <w:p w14:paraId="0BB2E196">
            <w:pPr>
              <w:rPr>
                <w:rFonts w:eastAsia="Calibri"/>
                <w:lang w:val="zh-CN"/>
              </w:rPr>
            </w:pPr>
          </w:p>
          <w:p w14:paraId="519836D6">
            <w:pPr>
              <w:rPr>
                <w:rFonts w:eastAsia="Calibri"/>
                <w:lang w:val="zh-CN"/>
              </w:rPr>
            </w:pPr>
          </w:p>
          <w:p w14:paraId="4C26A587">
            <w:pPr>
              <w:tabs>
                <w:tab w:val="left" w:pos="3850"/>
              </w:tabs>
              <w:rPr>
                <w:rFonts w:eastAsia="Calibri"/>
                <w:lang w:val="zh-CN"/>
              </w:rPr>
            </w:pPr>
            <w:r>
              <w:rPr>
                <w:rFonts w:eastAsia="Calibri"/>
                <w:lang w:val="zh-CN"/>
              </w:rPr>
              <w:tab/>
            </w:r>
          </w:p>
        </w:tc>
      </w:tr>
      <w:tr w14:paraId="7A4B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732" w:type="dxa"/>
            <w:vMerge w:val="restart"/>
            <w:shd w:val="clear" w:color="auto" w:fill="E7E6E6"/>
            <w:vAlign w:val="center"/>
          </w:tcPr>
          <w:p w14:paraId="4A9BB48F">
            <w:pPr>
              <w:ind w:left="-90" w:right="-108"/>
              <w:jc w:val="center"/>
              <w:rPr>
                <w:rFonts w:eastAsia="Calibri"/>
                <w:b/>
              </w:rPr>
            </w:pPr>
            <w:r>
              <w:rPr>
                <w:rFonts w:eastAsia="Calibri"/>
                <w:b/>
              </w:rPr>
              <w:t>Mg Ke-</w:t>
            </w:r>
          </w:p>
        </w:tc>
        <w:tc>
          <w:tcPr>
            <w:tcW w:w="2093" w:type="dxa"/>
            <w:gridSpan w:val="2"/>
            <w:vMerge w:val="restart"/>
            <w:shd w:val="clear" w:color="auto" w:fill="E7E6E6"/>
            <w:vAlign w:val="center"/>
          </w:tcPr>
          <w:p w14:paraId="526ABC0C">
            <w:pPr>
              <w:jc w:val="center"/>
              <w:rPr>
                <w:rFonts w:eastAsia="Calibri"/>
                <w:b/>
              </w:rPr>
            </w:pPr>
            <w:r>
              <w:rPr>
                <w:rFonts w:eastAsia="Calibri"/>
                <w:b/>
              </w:rPr>
              <w:t xml:space="preserve">Kemampuan akhir tiap tahapan belajar </w:t>
            </w:r>
          </w:p>
          <w:p w14:paraId="63BD0574">
            <w:pPr>
              <w:jc w:val="center"/>
              <w:rPr>
                <w:rFonts w:eastAsia="Calibri"/>
                <w:b/>
              </w:rPr>
            </w:pPr>
            <w:r>
              <w:rPr>
                <w:rFonts w:eastAsia="Calibri"/>
                <w:b/>
              </w:rPr>
              <w:t>(Sub-CPMK)</w:t>
            </w:r>
          </w:p>
        </w:tc>
        <w:tc>
          <w:tcPr>
            <w:tcW w:w="3824" w:type="dxa"/>
            <w:gridSpan w:val="4"/>
            <w:shd w:val="clear" w:color="auto" w:fill="E7E6E6"/>
            <w:vAlign w:val="center"/>
          </w:tcPr>
          <w:p w14:paraId="65871EF6">
            <w:pPr>
              <w:jc w:val="center"/>
              <w:rPr>
                <w:rFonts w:eastAsia="Calibri"/>
                <w:b/>
              </w:rPr>
            </w:pPr>
            <w:r>
              <w:rPr>
                <w:rFonts w:eastAsia="Calibri"/>
                <w:b/>
              </w:rPr>
              <w:t>Penilaian</w:t>
            </w:r>
          </w:p>
        </w:tc>
        <w:tc>
          <w:tcPr>
            <w:tcW w:w="3558" w:type="dxa"/>
            <w:gridSpan w:val="6"/>
            <w:shd w:val="clear" w:color="auto" w:fill="E7E6E6"/>
          </w:tcPr>
          <w:p w14:paraId="0BBBABD2">
            <w:pPr>
              <w:jc w:val="center"/>
              <w:rPr>
                <w:rFonts w:eastAsia="Calibri"/>
                <w:b/>
                <w:lang w:val="sv-SE"/>
              </w:rPr>
            </w:pPr>
            <w:r>
              <w:rPr>
                <w:rFonts w:eastAsia="Calibri"/>
                <w:b/>
                <w:lang w:val="sv-SE"/>
              </w:rPr>
              <w:t>Bantuk Pembelajaran,</w:t>
            </w:r>
          </w:p>
          <w:p w14:paraId="39BB52B5">
            <w:pPr>
              <w:jc w:val="center"/>
              <w:rPr>
                <w:rFonts w:eastAsia="Calibri"/>
                <w:b/>
                <w:lang w:val="sv-SE"/>
              </w:rPr>
            </w:pPr>
            <w:r>
              <w:rPr>
                <w:rFonts w:eastAsia="Calibri"/>
                <w:b/>
                <w:lang w:val="sv-SE"/>
              </w:rPr>
              <w:t xml:space="preserve">Metode Pembelajaran, </w:t>
            </w:r>
          </w:p>
          <w:p w14:paraId="6260C52A">
            <w:pPr>
              <w:jc w:val="center"/>
              <w:rPr>
                <w:rFonts w:eastAsia="Calibri"/>
                <w:b/>
                <w:lang w:val="sv-SE"/>
              </w:rPr>
            </w:pPr>
            <w:r>
              <w:rPr>
                <w:rFonts w:eastAsia="Calibri"/>
                <w:b/>
                <w:lang w:val="sv-SE"/>
              </w:rPr>
              <w:t>Penugasan Mahasiswa,</w:t>
            </w:r>
          </w:p>
          <w:p w14:paraId="3578CD2D">
            <w:pPr>
              <w:jc w:val="center"/>
              <w:rPr>
                <w:rFonts w:eastAsia="Calibri"/>
                <w:b/>
              </w:rPr>
            </w:pPr>
            <w:r>
              <w:rPr>
                <w:rFonts w:eastAsia="Calibri"/>
                <w:b/>
                <w:color w:val="0000FF"/>
                <w:lang w:val="sv-SE"/>
              </w:rPr>
              <w:t xml:space="preserve"> </w:t>
            </w:r>
            <w:r>
              <w:rPr>
                <w:rFonts w:eastAsia="Calibri"/>
                <w:b/>
                <w:color w:val="0000FF"/>
              </w:rPr>
              <w:t>[ Estimasi Waktu]</w:t>
            </w:r>
          </w:p>
        </w:tc>
        <w:tc>
          <w:tcPr>
            <w:tcW w:w="1559" w:type="dxa"/>
            <w:gridSpan w:val="2"/>
            <w:vMerge w:val="restart"/>
            <w:shd w:val="clear" w:color="auto" w:fill="E7E6E6"/>
            <w:vAlign w:val="center"/>
          </w:tcPr>
          <w:p w14:paraId="766406EB">
            <w:pPr>
              <w:jc w:val="center"/>
              <w:rPr>
                <w:rFonts w:eastAsia="Calibri"/>
                <w:b/>
              </w:rPr>
            </w:pPr>
            <w:r>
              <w:rPr>
                <w:rFonts w:eastAsia="Calibri"/>
                <w:b/>
              </w:rPr>
              <w:t>Materi Pembelajaran</w:t>
            </w:r>
          </w:p>
          <w:p w14:paraId="766A61D3">
            <w:pPr>
              <w:jc w:val="center"/>
              <w:rPr>
                <w:rFonts w:eastAsia="Calibri"/>
                <w:b/>
              </w:rPr>
            </w:pPr>
            <w:r>
              <w:rPr>
                <w:rFonts w:eastAsia="Calibri"/>
                <w:b/>
                <w:color w:val="0000FF"/>
              </w:rPr>
              <w:t>[ Pustaka ]</w:t>
            </w:r>
          </w:p>
        </w:tc>
        <w:tc>
          <w:tcPr>
            <w:tcW w:w="1140" w:type="dxa"/>
            <w:vMerge w:val="restart"/>
            <w:shd w:val="clear" w:color="auto" w:fill="E7E6E6"/>
            <w:vAlign w:val="center"/>
          </w:tcPr>
          <w:p w14:paraId="6A37D09D">
            <w:pPr>
              <w:jc w:val="center"/>
              <w:rPr>
                <w:rFonts w:eastAsia="Calibri"/>
                <w:b/>
              </w:rPr>
            </w:pPr>
            <w:r>
              <w:rPr>
                <w:rFonts w:eastAsia="Calibri"/>
                <w:b/>
              </w:rPr>
              <w:t>Bobot Penilaian (%)</w:t>
            </w:r>
          </w:p>
        </w:tc>
      </w:tr>
      <w:tr w14:paraId="360AF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732" w:type="dxa"/>
            <w:vMerge w:val="continue"/>
            <w:shd w:val="clear" w:color="auto" w:fill="E7E6E6"/>
            <w:vAlign w:val="center"/>
          </w:tcPr>
          <w:p w14:paraId="2B26AF1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2093" w:type="dxa"/>
            <w:gridSpan w:val="2"/>
            <w:vMerge w:val="continue"/>
            <w:shd w:val="clear" w:color="auto" w:fill="E7E6E6"/>
            <w:vAlign w:val="center"/>
          </w:tcPr>
          <w:p w14:paraId="06180A5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882" w:type="dxa"/>
            <w:gridSpan w:val="2"/>
            <w:shd w:val="clear" w:color="auto" w:fill="E7E6E6"/>
          </w:tcPr>
          <w:p w14:paraId="63520858">
            <w:pPr>
              <w:jc w:val="center"/>
              <w:rPr>
                <w:rFonts w:eastAsia="Calibri"/>
                <w:b/>
              </w:rPr>
            </w:pPr>
            <w:r>
              <w:rPr>
                <w:rFonts w:eastAsia="Calibri"/>
                <w:b/>
              </w:rPr>
              <w:t>Indikator</w:t>
            </w:r>
          </w:p>
        </w:tc>
        <w:tc>
          <w:tcPr>
            <w:tcW w:w="1942" w:type="dxa"/>
            <w:gridSpan w:val="2"/>
            <w:shd w:val="clear" w:color="auto" w:fill="E7E6E6"/>
          </w:tcPr>
          <w:p w14:paraId="5D16F627">
            <w:pPr>
              <w:jc w:val="center"/>
              <w:rPr>
                <w:rFonts w:eastAsia="Calibri"/>
                <w:b/>
              </w:rPr>
            </w:pPr>
            <w:r>
              <w:rPr>
                <w:rFonts w:eastAsia="Calibri"/>
                <w:b/>
              </w:rPr>
              <w:t>Kriteria &amp; Teknik</w:t>
            </w:r>
          </w:p>
        </w:tc>
        <w:tc>
          <w:tcPr>
            <w:tcW w:w="1703" w:type="dxa"/>
            <w:gridSpan w:val="3"/>
            <w:shd w:val="clear" w:color="auto" w:fill="E7E6E6"/>
          </w:tcPr>
          <w:p w14:paraId="54EE1C5F">
            <w:pPr>
              <w:jc w:val="center"/>
              <w:rPr>
                <w:rFonts w:eastAsia="Calibri"/>
                <w:b/>
              </w:rPr>
            </w:pPr>
            <w:r>
              <w:rPr>
                <w:rFonts w:eastAsia="Calibri"/>
                <w:b/>
              </w:rPr>
              <w:t>Luring (</w:t>
            </w:r>
            <w:r>
              <w:rPr>
                <w:rFonts w:eastAsia="Calibri"/>
                <w:b/>
                <w:i/>
              </w:rPr>
              <w:t>offline</w:t>
            </w:r>
            <w:r>
              <w:rPr>
                <w:rFonts w:eastAsia="Calibri"/>
                <w:b/>
              </w:rPr>
              <w:t>)</w:t>
            </w:r>
          </w:p>
        </w:tc>
        <w:tc>
          <w:tcPr>
            <w:tcW w:w="1855" w:type="dxa"/>
            <w:gridSpan w:val="3"/>
            <w:shd w:val="clear" w:color="auto" w:fill="E7E6E6"/>
          </w:tcPr>
          <w:p w14:paraId="4DC3390F">
            <w:pPr>
              <w:jc w:val="center"/>
              <w:rPr>
                <w:rFonts w:eastAsia="Calibri"/>
                <w:b/>
              </w:rPr>
            </w:pPr>
            <w:r>
              <w:rPr>
                <w:rFonts w:eastAsia="Calibri"/>
                <w:b/>
              </w:rPr>
              <w:t>Daring (</w:t>
            </w:r>
            <w:r>
              <w:rPr>
                <w:rFonts w:eastAsia="Calibri"/>
                <w:b/>
                <w:i/>
              </w:rPr>
              <w:t>online</w:t>
            </w:r>
            <w:r>
              <w:rPr>
                <w:rFonts w:eastAsia="Calibri"/>
                <w:b/>
              </w:rPr>
              <w:t>)</w:t>
            </w:r>
          </w:p>
        </w:tc>
        <w:tc>
          <w:tcPr>
            <w:tcW w:w="1559" w:type="dxa"/>
            <w:gridSpan w:val="2"/>
            <w:vMerge w:val="continue"/>
            <w:shd w:val="clear" w:color="auto" w:fill="E7E6E6"/>
            <w:vAlign w:val="center"/>
          </w:tcPr>
          <w:p w14:paraId="5570D86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140" w:type="dxa"/>
            <w:vMerge w:val="continue"/>
            <w:shd w:val="clear" w:color="auto" w:fill="E7E6E6"/>
            <w:vAlign w:val="center"/>
          </w:tcPr>
          <w:p w14:paraId="652ACD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r>
      <w:tr w14:paraId="0F7F2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732" w:type="dxa"/>
            <w:shd w:val="clear" w:color="auto" w:fill="E7E6E6"/>
          </w:tcPr>
          <w:p w14:paraId="5EC75E6B">
            <w:pPr>
              <w:ind w:left="-90" w:right="-108"/>
              <w:jc w:val="center"/>
              <w:rPr>
                <w:rFonts w:eastAsia="Calibri"/>
                <w:b/>
              </w:rPr>
            </w:pPr>
            <w:r>
              <w:rPr>
                <w:rFonts w:eastAsia="Calibri"/>
                <w:b/>
              </w:rPr>
              <w:t>(1)</w:t>
            </w:r>
          </w:p>
        </w:tc>
        <w:tc>
          <w:tcPr>
            <w:tcW w:w="2093" w:type="dxa"/>
            <w:gridSpan w:val="2"/>
            <w:shd w:val="clear" w:color="auto" w:fill="E7E6E6"/>
          </w:tcPr>
          <w:p w14:paraId="217E11EE">
            <w:pPr>
              <w:jc w:val="center"/>
              <w:rPr>
                <w:rFonts w:eastAsia="Calibri"/>
                <w:b/>
              </w:rPr>
            </w:pPr>
            <w:r>
              <w:rPr>
                <w:rFonts w:eastAsia="Calibri"/>
                <w:b/>
              </w:rPr>
              <w:t>(2)</w:t>
            </w:r>
          </w:p>
        </w:tc>
        <w:tc>
          <w:tcPr>
            <w:tcW w:w="1882" w:type="dxa"/>
            <w:gridSpan w:val="2"/>
            <w:shd w:val="clear" w:color="auto" w:fill="E7E6E6"/>
          </w:tcPr>
          <w:p w14:paraId="7C828FE1">
            <w:pPr>
              <w:jc w:val="center"/>
              <w:rPr>
                <w:rFonts w:eastAsia="Calibri"/>
                <w:b/>
              </w:rPr>
            </w:pPr>
            <w:r>
              <w:rPr>
                <w:rFonts w:eastAsia="Calibri"/>
                <w:b/>
              </w:rPr>
              <w:t>(3)</w:t>
            </w:r>
          </w:p>
        </w:tc>
        <w:tc>
          <w:tcPr>
            <w:tcW w:w="1942" w:type="dxa"/>
            <w:gridSpan w:val="2"/>
            <w:shd w:val="clear" w:color="auto" w:fill="E7E6E6"/>
          </w:tcPr>
          <w:p w14:paraId="37D6A253">
            <w:pPr>
              <w:jc w:val="center"/>
              <w:rPr>
                <w:rFonts w:eastAsia="Calibri"/>
                <w:b/>
              </w:rPr>
            </w:pPr>
            <w:r>
              <w:rPr>
                <w:rFonts w:eastAsia="Calibri"/>
                <w:b/>
              </w:rPr>
              <w:t>(4)</w:t>
            </w:r>
          </w:p>
        </w:tc>
        <w:tc>
          <w:tcPr>
            <w:tcW w:w="1703" w:type="dxa"/>
            <w:gridSpan w:val="3"/>
            <w:shd w:val="clear" w:color="auto" w:fill="E7E6E6"/>
          </w:tcPr>
          <w:p w14:paraId="401E2018">
            <w:pPr>
              <w:jc w:val="center"/>
              <w:rPr>
                <w:rFonts w:eastAsia="Calibri"/>
                <w:b/>
              </w:rPr>
            </w:pPr>
            <w:r>
              <w:rPr>
                <w:rFonts w:eastAsia="Calibri"/>
                <w:b/>
              </w:rPr>
              <w:t>(5)</w:t>
            </w:r>
          </w:p>
        </w:tc>
        <w:tc>
          <w:tcPr>
            <w:tcW w:w="1855" w:type="dxa"/>
            <w:gridSpan w:val="3"/>
            <w:shd w:val="clear" w:color="auto" w:fill="E7E6E6"/>
          </w:tcPr>
          <w:p w14:paraId="5EC21FAB">
            <w:pPr>
              <w:jc w:val="center"/>
              <w:rPr>
                <w:rFonts w:eastAsia="Calibri"/>
                <w:b/>
              </w:rPr>
            </w:pPr>
            <w:r>
              <w:rPr>
                <w:rFonts w:eastAsia="Calibri"/>
                <w:b/>
              </w:rPr>
              <w:t>(6)</w:t>
            </w:r>
          </w:p>
        </w:tc>
        <w:tc>
          <w:tcPr>
            <w:tcW w:w="1559" w:type="dxa"/>
            <w:gridSpan w:val="2"/>
            <w:shd w:val="clear" w:color="auto" w:fill="E7E6E6"/>
          </w:tcPr>
          <w:p w14:paraId="5845D2FD">
            <w:pPr>
              <w:jc w:val="center"/>
              <w:rPr>
                <w:rFonts w:eastAsia="Calibri"/>
                <w:b/>
              </w:rPr>
            </w:pPr>
            <w:r>
              <w:rPr>
                <w:rFonts w:eastAsia="Calibri"/>
                <w:b/>
              </w:rPr>
              <w:t>(7)</w:t>
            </w:r>
          </w:p>
        </w:tc>
        <w:tc>
          <w:tcPr>
            <w:tcW w:w="1140" w:type="dxa"/>
            <w:shd w:val="clear" w:color="auto" w:fill="E7E6E6"/>
          </w:tcPr>
          <w:p w14:paraId="09BC1505">
            <w:pPr>
              <w:jc w:val="center"/>
              <w:rPr>
                <w:rFonts w:eastAsia="Calibri"/>
                <w:b/>
              </w:rPr>
            </w:pPr>
            <w:r>
              <w:rPr>
                <w:rFonts w:eastAsia="Calibri"/>
                <w:b/>
              </w:rPr>
              <w:t>(8)</w:t>
            </w:r>
          </w:p>
        </w:tc>
      </w:tr>
      <w:tr w14:paraId="5EB7E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B903805">
            <w:pPr>
              <w:ind w:left="-90" w:right="-108"/>
              <w:jc w:val="center"/>
              <w:rPr>
                <w:rFonts w:eastAsia="Calibri"/>
                <w:b/>
              </w:rPr>
            </w:pPr>
            <w:r>
              <w:t>1</w:t>
            </w:r>
          </w:p>
        </w:tc>
        <w:tc>
          <w:tcPr>
            <w:tcW w:w="2093" w:type="dxa"/>
            <w:gridSpan w:val="2"/>
            <w:vAlign w:val="center"/>
          </w:tcPr>
          <w:p w14:paraId="06C1E406">
            <w:pPr>
              <w:jc w:val="both"/>
              <w:rPr>
                <w:rFonts w:eastAsia="Calibri"/>
                <w:sz w:val="24"/>
                <w:szCs w:val="24"/>
              </w:rPr>
            </w:pPr>
            <w:r>
              <w:t>Mampu menjelaskan konsep dan urgensi Pendidikan Kewarganegaraan dalam pengembangan kemampuan utuh sarjana K3.</w:t>
            </w:r>
          </w:p>
        </w:tc>
        <w:tc>
          <w:tcPr>
            <w:tcW w:w="1882" w:type="dxa"/>
            <w:gridSpan w:val="2"/>
            <w:vAlign w:val="center"/>
          </w:tcPr>
          <w:p w14:paraId="5755633D">
            <w:pPr>
              <w:jc w:val="both"/>
              <w:rPr>
                <w:rFonts w:eastAsia="Calibri"/>
                <w:b/>
                <w:color w:val="0432FF"/>
                <w:sz w:val="24"/>
                <w:szCs w:val="24"/>
              </w:rPr>
            </w:pPr>
            <w:r>
              <w:t>-</w:t>
            </w:r>
          </w:p>
        </w:tc>
        <w:tc>
          <w:tcPr>
            <w:tcW w:w="1942" w:type="dxa"/>
            <w:gridSpan w:val="2"/>
            <w:vAlign w:val="center"/>
          </w:tcPr>
          <w:p w14:paraId="01CD09AF">
            <w:pPr>
              <w:jc w:val="both"/>
              <w:rPr>
                <w:rFonts w:eastAsia="Calibri"/>
                <w:sz w:val="24"/>
                <w:szCs w:val="24"/>
              </w:rPr>
            </w:pPr>
            <w:r>
              <w:t>Indikator: Ketepatan menjelaskan tujuan PKn.)</w:t>
            </w:r>
          </w:p>
        </w:tc>
        <w:tc>
          <w:tcPr>
            <w:tcW w:w="1703" w:type="dxa"/>
            <w:gridSpan w:val="3"/>
            <w:vAlign w:val="center"/>
          </w:tcPr>
          <w:p w14:paraId="31F92EFB">
            <w:pPr>
              <w:ind w:left="72"/>
              <w:jc w:val="both"/>
              <w:rPr>
                <w:rFonts w:eastAsia="Calibri"/>
                <w:sz w:val="24"/>
                <w:szCs w:val="24"/>
              </w:rPr>
            </w:pPr>
            <w:r>
              <w:t>Ceramah Interaktif &amp; Diskusi</w:t>
            </w:r>
          </w:p>
        </w:tc>
        <w:tc>
          <w:tcPr>
            <w:tcW w:w="1855" w:type="dxa"/>
            <w:gridSpan w:val="3"/>
            <w:vAlign w:val="center"/>
          </w:tcPr>
          <w:p w14:paraId="3F8C13B3">
            <w:pPr>
              <w:rPr>
                <w:rFonts w:eastAsia="Calibri"/>
                <w:b/>
              </w:rPr>
            </w:pPr>
          </w:p>
        </w:tc>
        <w:tc>
          <w:tcPr>
            <w:tcW w:w="1559" w:type="dxa"/>
            <w:gridSpan w:val="2"/>
            <w:vAlign w:val="center"/>
          </w:tcPr>
          <w:p w14:paraId="7BDC9390">
            <w:pPr>
              <w:jc w:val="both"/>
              <w:rPr>
                <w:rFonts w:eastAsia="Calibri"/>
                <w:bCs/>
                <w:sz w:val="24"/>
                <w:szCs w:val="24"/>
              </w:rPr>
            </w:pPr>
            <w:r>
              <w:t>Kontrak Perkuliahan, Hakikat dan Urgensi PKn di Perguruan Tinggi.</w:t>
            </w:r>
          </w:p>
        </w:tc>
        <w:tc>
          <w:tcPr>
            <w:tcW w:w="1140" w:type="dxa"/>
            <w:vAlign w:val="center"/>
          </w:tcPr>
          <w:p w14:paraId="5815FDD6">
            <w:pPr>
              <w:jc w:val="center"/>
              <w:rPr>
                <w:rFonts w:eastAsia="Calibri"/>
                <w:b/>
              </w:rPr>
            </w:pPr>
            <w:r>
              <w:t xml:space="preserve">5% </w:t>
            </w:r>
          </w:p>
        </w:tc>
      </w:tr>
      <w:tr w14:paraId="02FB8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4FD00DDE">
            <w:pPr>
              <w:ind w:left="-90" w:right="-108"/>
              <w:jc w:val="center"/>
              <w:rPr>
                <w:rFonts w:eastAsia="Calibri"/>
                <w:b/>
              </w:rPr>
            </w:pPr>
            <w:r>
              <w:t>2</w:t>
            </w:r>
          </w:p>
        </w:tc>
        <w:tc>
          <w:tcPr>
            <w:tcW w:w="2093" w:type="dxa"/>
            <w:gridSpan w:val="2"/>
            <w:vAlign w:val="center"/>
          </w:tcPr>
          <w:p w14:paraId="7BB0CF3E">
            <w:pPr>
              <w:jc w:val="both"/>
              <w:rPr>
                <w:rFonts w:eastAsia="Calibri"/>
                <w:sz w:val="24"/>
                <w:szCs w:val="24"/>
              </w:rPr>
            </w:pPr>
            <w:r>
              <w:t xml:space="preserve">Mampu menganalisis Konsep, Urgensi, dan Dinamika </w:t>
            </w:r>
            <w:r>
              <w:rPr>
                <w:b/>
                <w:bCs/>
              </w:rPr>
              <w:t>Identitas Nasional</w:t>
            </w:r>
            <w:r>
              <w:t xml:space="preserve"> sebagai manifestasi jatidiri bangsa.</w:t>
            </w:r>
          </w:p>
        </w:tc>
        <w:tc>
          <w:tcPr>
            <w:tcW w:w="1882" w:type="dxa"/>
            <w:gridSpan w:val="2"/>
            <w:vAlign w:val="center"/>
          </w:tcPr>
          <w:p w14:paraId="490B764F">
            <w:pPr>
              <w:jc w:val="both"/>
              <w:rPr>
                <w:rFonts w:eastAsia="Calibri"/>
                <w:b/>
                <w:sz w:val="24"/>
                <w:szCs w:val="24"/>
              </w:rPr>
            </w:pPr>
            <w:r>
              <w:t>Merangkum materi dan mengidentifikasi 3 tantangan Identitas Nasional.</w:t>
            </w:r>
          </w:p>
        </w:tc>
        <w:tc>
          <w:tcPr>
            <w:tcW w:w="1942" w:type="dxa"/>
            <w:gridSpan w:val="2"/>
            <w:vAlign w:val="center"/>
          </w:tcPr>
          <w:p w14:paraId="57C6870B">
            <w:pPr>
              <w:jc w:val="both"/>
              <w:rPr>
                <w:rFonts w:eastAsia="Trebuchet MS"/>
                <w:sz w:val="24"/>
                <w:szCs w:val="24"/>
              </w:rPr>
            </w:pPr>
            <w:r>
              <w:t xml:space="preserve">Indikator: Kedalaman Analisis. </w:t>
            </w:r>
          </w:p>
        </w:tc>
        <w:tc>
          <w:tcPr>
            <w:tcW w:w="1703" w:type="dxa"/>
            <w:gridSpan w:val="3"/>
            <w:vAlign w:val="center"/>
          </w:tcPr>
          <w:p w14:paraId="7637A2BC">
            <w:pPr>
              <w:jc w:val="both"/>
              <w:rPr>
                <w:rFonts w:eastAsia="Trebuchet MS"/>
                <w:sz w:val="24"/>
                <w:szCs w:val="24"/>
              </w:rPr>
            </w:pPr>
            <w:r>
              <w:rPr>
                <w:i/>
                <w:iCs/>
              </w:rPr>
              <w:t>Small Group Discussion (SGD)</w:t>
            </w:r>
          </w:p>
        </w:tc>
        <w:tc>
          <w:tcPr>
            <w:tcW w:w="1855" w:type="dxa"/>
            <w:gridSpan w:val="3"/>
            <w:vAlign w:val="center"/>
          </w:tcPr>
          <w:p w14:paraId="4F6AFC29">
            <w:pPr>
              <w:rPr>
                <w:rFonts w:eastAsia="Calibri"/>
                <w:b/>
              </w:rPr>
            </w:pPr>
          </w:p>
        </w:tc>
        <w:tc>
          <w:tcPr>
            <w:tcW w:w="1559" w:type="dxa"/>
            <w:gridSpan w:val="2"/>
            <w:vAlign w:val="center"/>
          </w:tcPr>
          <w:p w14:paraId="56588018">
            <w:pPr>
              <w:jc w:val="both"/>
              <w:rPr>
                <w:rFonts w:eastAsia="Calibri"/>
                <w:bCs/>
                <w:sz w:val="24"/>
                <w:szCs w:val="24"/>
              </w:rPr>
            </w:pPr>
            <w:r>
              <w:t>Identitas Nasional: Konsep, Urgensi, Dinamika, dan Tantangan (termasuk kaitannya dengan nilai dan budaya K3).</w:t>
            </w:r>
          </w:p>
        </w:tc>
        <w:tc>
          <w:tcPr>
            <w:tcW w:w="1140" w:type="dxa"/>
            <w:vAlign w:val="center"/>
          </w:tcPr>
          <w:p w14:paraId="1C36F256">
            <w:pPr>
              <w:jc w:val="center"/>
              <w:rPr>
                <w:rFonts w:eastAsia="Calibri"/>
                <w:b/>
              </w:rPr>
            </w:pPr>
            <w:r>
              <w:t>5%</w:t>
            </w:r>
          </w:p>
        </w:tc>
      </w:tr>
      <w:tr w14:paraId="1E1FE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63CB2BB9">
            <w:pPr>
              <w:ind w:left="-90" w:right="-108"/>
              <w:jc w:val="center"/>
            </w:pPr>
            <w:r>
              <w:t>3</w:t>
            </w:r>
          </w:p>
        </w:tc>
        <w:tc>
          <w:tcPr>
            <w:tcW w:w="2093" w:type="dxa"/>
            <w:gridSpan w:val="2"/>
            <w:vAlign w:val="center"/>
          </w:tcPr>
          <w:p w14:paraId="04593E0A">
            <w:pPr>
              <w:jc w:val="both"/>
              <w:rPr>
                <w:rFonts w:eastAsia="Calibri"/>
                <w:sz w:val="24"/>
                <w:szCs w:val="24"/>
              </w:rPr>
            </w:pPr>
            <w:r>
              <w:t xml:space="preserve">Mampu mengevaluasi pentingnya </w:t>
            </w:r>
            <w:r>
              <w:rPr>
                <w:b/>
                <w:bCs/>
              </w:rPr>
              <w:t>Integrasi Nasional</w:t>
            </w:r>
            <w:r>
              <w:t xml:space="preserve"> sebagai parameter persatuan dan kesatuan bangsa.</w:t>
            </w:r>
          </w:p>
        </w:tc>
        <w:tc>
          <w:tcPr>
            <w:tcW w:w="1882" w:type="dxa"/>
            <w:gridSpan w:val="2"/>
            <w:vAlign w:val="center"/>
          </w:tcPr>
          <w:p w14:paraId="6EADB356">
            <w:pPr>
              <w:jc w:val="both"/>
              <w:rPr>
                <w:rFonts w:eastAsia="Calibri"/>
                <w:b/>
                <w:sz w:val="24"/>
                <w:szCs w:val="24"/>
              </w:rPr>
            </w:pPr>
            <w:r>
              <w:t>Analisis kasus potensi disintegrasi (konflik/perbedaan etnis/agama) dan solusinya.</w:t>
            </w:r>
          </w:p>
        </w:tc>
        <w:tc>
          <w:tcPr>
            <w:tcW w:w="1942" w:type="dxa"/>
            <w:gridSpan w:val="2"/>
            <w:vAlign w:val="center"/>
          </w:tcPr>
          <w:p w14:paraId="18C5E2CE">
            <w:pPr>
              <w:jc w:val="both"/>
              <w:rPr>
                <w:rFonts w:eastAsia="Trebuchet MS"/>
                <w:sz w:val="24"/>
                <w:szCs w:val="24"/>
              </w:rPr>
            </w:pPr>
            <w:r>
              <w:t xml:space="preserve">Indikator: Argumentasi (C4). </w:t>
            </w:r>
          </w:p>
        </w:tc>
        <w:tc>
          <w:tcPr>
            <w:tcW w:w="1703" w:type="dxa"/>
            <w:gridSpan w:val="3"/>
            <w:vAlign w:val="center"/>
          </w:tcPr>
          <w:p w14:paraId="7A9AB659">
            <w:pPr>
              <w:jc w:val="both"/>
              <w:rPr>
                <w:rFonts w:eastAsia="Trebuchet MS"/>
                <w:sz w:val="24"/>
                <w:szCs w:val="24"/>
              </w:rPr>
            </w:pPr>
            <w:r>
              <w:rPr>
                <w:i/>
                <w:iCs/>
              </w:rPr>
              <w:t>Contextual Learning (CTL)</w:t>
            </w:r>
          </w:p>
        </w:tc>
        <w:tc>
          <w:tcPr>
            <w:tcW w:w="1855" w:type="dxa"/>
            <w:gridSpan w:val="3"/>
            <w:vAlign w:val="center"/>
          </w:tcPr>
          <w:p w14:paraId="1C527968">
            <w:pPr>
              <w:rPr>
                <w:rFonts w:eastAsia="Calibri"/>
                <w:b/>
              </w:rPr>
            </w:pPr>
          </w:p>
        </w:tc>
        <w:tc>
          <w:tcPr>
            <w:tcW w:w="1559" w:type="dxa"/>
            <w:gridSpan w:val="2"/>
            <w:vAlign w:val="center"/>
          </w:tcPr>
          <w:p w14:paraId="2308550A">
            <w:pPr>
              <w:jc w:val="both"/>
              <w:rPr>
                <w:rFonts w:eastAsia="Calibri"/>
                <w:bCs/>
                <w:sz w:val="24"/>
                <w:szCs w:val="24"/>
              </w:rPr>
            </w:pPr>
            <w:r>
              <w:t>Integrasi Nasional: Konsep, Urgensi, Dinamika, dan Tantangan (termasuk Bhinneka Tunggal Ika).</w:t>
            </w:r>
          </w:p>
        </w:tc>
        <w:tc>
          <w:tcPr>
            <w:tcW w:w="1140" w:type="dxa"/>
            <w:vAlign w:val="center"/>
          </w:tcPr>
          <w:p w14:paraId="11B31456">
            <w:pPr>
              <w:jc w:val="center"/>
              <w:rPr>
                <w:rFonts w:eastAsia="Calibri"/>
                <w:b/>
              </w:rPr>
            </w:pPr>
            <w:r>
              <w:t>5%</w:t>
            </w:r>
          </w:p>
        </w:tc>
      </w:tr>
      <w:tr w14:paraId="2F11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06EA547C">
            <w:pPr>
              <w:ind w:left="-90" w:right="-108"/>
              <w:jc w:val="center"/>
              <w:rPr>
                <w:rFonts w:eastAsia="Calibri"/>
                <w:b/>
              </w:rPr>
            </w:pPr>
            <w:r>
              <w:t>4</w:t>
            </w:r>
          </w:p>
        </w:tc>
        <w:tc>
          <w:tcPr>
            <w:tcW w:w="2093" w:type="dxa"/>
            <w:gridSpan w:val="2"/>
            <w:vAlign w:val="center"/>
          </w:tcPr>
          <w:p w14:paraId="66B7BFC9">
            <w:pPr>
              <w:jc w:val="both"/>
              <w:rPr>
                <w:rFonts w:eastAsia="Calibri"/>
                <w:sz w:val="24"/>
                <w:szCs w:val="24"/>
              </w:rPr>
            </w:pPr>
            <w:r>
              <w:t xml:space="preserve">Mampu menganalisis Konsep, Urgensi, Dinamika, dan Tantangan </w:t>
            </w:r>
            <w:r>
              <w:rPr>
                <w:b/>
                <w:bCs/>
              </w:rPr>
              <w:t>Konstitusi Negara RI (UUD NRI 1945)</w:t>
            </w:r>
            <w:r>
              <w:t>.</w:t>
            </w:r>
          </w:p>
        </w:tc>
        <w:tc>
          <w:tcPr>
            <w:tcW w:w="1882" w:type="dxa"/>
            <w:gridSpan w:val="2"/>
            <w:vAlign w:val="center"/>
          </w:tcPr>
          <w:p w14:paraId="32456F55">
            <w:pPr>
              <w:jc w:val="both"/>
              <w:rPr>
                <w:rFonts w:eastAsia="Calibri"/>
                <w:b/>
                <w:sz w:val="24"/>
                <w:szCs w:val="24"/>
              </w:rPr>
            </w:pPr>
            <w:r>
              <w:t>-</w:t>
            </w:r>
          </w:p>
        </w:tc>
        <w:tc>
          <w:tcPr>
            <w:tcW w:w="1942" w:type="dxa"/>
            <w:gridSpan w:val="2"/>
            <w:vAlign w:val="center"/>
          </w:tcPr>
          <w:p w14:paraId="2CCCDAF5">
            <w:pPr>
              <w:jc w:val="both"/>
              <w:rPr>
                <w:rFonts w:eastAsia="Calibri"/>
                <w:b/>
                <w:sz w:val="24"/>
                <w:szCs w:val="24"/>
              </w:rPr>
            </w:pPr>
            <w:r>
              <w:t xml:space="preserve">Indikator: Pemahaman Konsep. </w:t>
            </w:r>
          </w:p>
        </w:tc>
        <w:tc>
          <w:tcPr>
            <w:tcW w:w="1703" w:type="dxa"/>
            <w:gridSpan w:val="3"/>
            <w:vAlign w:val="center"/>
          </w:tcPr>
          <w:p w14:paraId="49F8C2FE">
            <w:pPr>
              <w:jc w:val="both"/>
              <w:rPr>
                <w:rFonts w:eastAsia="Calibri"/>
                <w:sz w:val="24"/>
                <w:szCs w:val="24"/>
              </w:rPr>
            </w:pPr>
            <w:r>
              <w:t>Ceramah Interaktif &amp; Diskusi</w:t>
            </w:r>
          </w:p>
        </w:tc>
        <w:tc>
          <w:tcPr>
            <w:tcW w:w="1855" w:type="dxa"/>
            <w:gridSpan w:val="3"/>
            <w:vAlign w:val="center"/>
          </w:tcPr>
          <w:p w14:paraId="675D69E1">
            <w:pPr>
              <w:rPr>
                <w:rFonts w:eastAsia="Calibri"/>
                <w:b/>
              </w:rPr>
            </w:pPr>
          </w:p>
        </w:tc>
        <w:tc>
          <w:tcPr>
            <w:tcW w:w="1559" w:type="dxa"/>
            <w:gridSpan w:val="2"/>
            <w:vAlign w:val="center"/>
          </w:tcPr>
          <w:p w14:paraId="05B3D441">
            <w:pPr>
              <w:jc w:val="both"/>
              <w:rPr>
                <w:rFonts w:eastAsia="Calibri"/>
                <w:bCs/>
                <w:sz w:val="24"/>
                <w:szCs w:val="24"/>
              </w:rPr>
            </w:pPr>
            <w:r>
              <w:t>Konstitusi Negara: UUD NRI 1945 dan Suprastruktur-Infrastruktur Politik (Koneksi dengan Regulasi K3).</w:t>
            </w:r>
          </w:p>
        </w:tc>
        <w:tc>
          <w:tcPr>
            <w:tcW w:w="1140" w:type="dxa"/>
            <w:vAlign w:val="center"/>
          </w:tcPr>
          <w:p w14:paraId="5EE26A39">
            <w:pPr>
              <w:jc w:val="center"/>
              <w:rPr>
                <w:rFonts w:eastAsia="Calibri"/>
                <w:b/>
              </w:rPr>
            </w:pPr>
            <w:r>
              <w:t>5%</w:t>
            </w:r>
          </w:p>
        </w:tc>
      </w:tr>
      <w:tr w14:paraId="7CD55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6B77A04">
            <w:pPr>
              <w:ind w:left="-90" w:right="-108"/>
              <w:jc w:val="center"/>
              <w:rPr>
                <w:rFonts w:eastAsia="Calibri"/>
                <w:b/>
              </w:rPr>
            </w:pPr>
            <w:r>
              <w:t>5</w:t>
            </w:r>
          </w:p>
        </w:tc>
        <w:tc>
          <w:tcPr>
            <w:tcW w:w="2093" w:type="dxa"/>
            <w:gridSpan w:val="2"/>
            <w:vAlign w:val="center"/>
          </w:tcPr>
          <w:p w14:paraId="17D0B5DC">
            <w:pPr>
              <w:jc w:val="both"/>
              <w:rPr>
                <w:rFonts w:eastAsia="Calibri"/>
                <w:sz w:val="24"/>
                <w:szCs w:val="24"/>
              </w:rPr>
            </w:pPr>
            <w:r>
              <w:t xml:space="preserve">Mampu mengevaluasi Hubungan </w:t>
            </w:r>
            <w:r>
              <w:rPr>
                <w:b/>
                <w:bCs/>
              </w:rPr>
              <w:t>Hak dan Kewajiban Warga Negara</w:t>
            </w:r>
            <w:r>
              <w:t xml:space="preserve"> dan tantangannya.</w:t>
            </w:r>
          </w:p>
        </w:tc>
        <w:tc>
          <w:tcPr>
            <w:tcW w:w="1882" w:type="dxa"/>
            <w:gridSpan w:val="2"/>
            <w:vAlign w:val="center"/>
          </w:tcPr>
          <w:p w14:paraId="3CDD7A8F">
            <w:pPr>
              <w:jc w:val="both"/>
              <w:rPr>
                <w:rFonts w:eastAsia="Calibri"/>
                <w:b/>
                <w:sz w:val="24"/>
                <w:szCs w:val="24"/>
              </w:rPr>
            </w:pPr>
            <w:r>
              <w:t>Analisis studi kasus pelanggaran hak dan kewajiban di tempat kerja (non-K3).</w:t>
            </w:r>
          </w:p>
        </w:tc>
        <w:tc>
          <w:tcPr>
            <w:tcW w:w="1942" w:type="dxa"/>
            <w:gridSpan w:val="2"/>
            <w:vAlign w:val="center"/>
          </w:tcPr>
          <w:p w14:paraId="17B39E49">
            <w:pPr>
              <w:jc w:val="both"/>
              <w:rPr>
                <w:rFonts w:eastAsia="Calibri"/>
                <w:b/>
                <w:sz w:val="24"/>
                <w:szCs w:val="24"/>
              </w:rPr>
            </w:pPr>
            <w:r>
              <w:t xml:space="preserve">Indikator: Evaluasi Regulasi (C4). </w:t>
            </w:r>
          </w:p>
        </w:tc>
        <w:tc>
          <w:tcPr>
            <w:tcW w:w="1703" w:type="dxa"/>
            <w:gridSpan w:val="3"/>
            <w:vAlign w:val="center"/>
          </w:tcPr>
          <w:p w14:paraId="60CC244B">
            <w:pPr>
              <w:jc w:val="both"/>
              <w:rPr>
                <w:rFonts w:eastAsia="MinionPro-Bold"/>
                <w:color w:val="000000" w:themeColor="text1"/>
                <w:sz w:val="24"/>
                <w:szCs w:val="24"/>
                <w:lang w:val="zh-CN"/>
                <w14:textFill>
                  <w14:solidFill>
                    <w14:schemeClr w14:val="tx1"/>
                  </w14:solidFill>
                </w14:textFill>
              </w:rPr>
            </w:pPr>
            <w:r>
              <w:rPr>
                <w:i/>
                <w:iCs/>
              </w:rPr>
              <w:t>Case Study/Studi Kasus</w:t>
            </w:r>
          </w:p>
        </w:tc>
        <w:tc>
          <w:tcPr>
            <w:tcW w:w="1855" w:type="dxa"/>
            <w:gridSpan w:val="3"/>
            <w:vAlign w:val="center"/>
          </w:tcPr>
          <w:p w14:paraId="12993FEB">
            <w:pPr>
              <w:rPr>
                <w:rFonts w:eastAsia="Calibri"/>
                <w:b/>
              </w:rPr>
            </w:pPr>
          </w:p>
        </w:tc>
        <w:tc>
          <w:tcPr>
            <w:tcW w:w="1559" w:type="dxa"/>
            <w:gridSpan w:val="2"/>
            <w:vAlign w:val="center"/>
          </w:tcPr>
          <w:p w14:paraId="1C35D8B7">
            <w:pPr>
              <w:jc w:val="both"/>
              <w:rPr>
                <w:rFonts w:eastAsia="Calibri"/>
                <w:bCs/>
                <w:sz w:val="24"/>
                <w:szCs w:val="24"/>
              </w:rPr>
            </w:pPr>
            <w:r>
              <w:t>Hak dan Kewajiban Warga Negara: Hak Sipil, Politik, Ekonomi, dan Hubungannya dengan Kewajiban dalam Regulasi K3 (misal: hak/kewajiban pekerja/pengusaha).</w:t>
            </w:r>
          </w:p>
        </w:tc>
        <w:tc>
          <w:tcPr>
            <w:tcW w:w="1140" w:type="dxa"/>
            <w:vAlign w:val="center"/>
          </w:tcPr>
          <w:p w14:paraId="58C79CC0">
            <w:pPr>
              <w:jc w:val="center"/>
              <w:rPr>
                <w:rFonts w:eastAsia="Calibri"/>
                <w:b/>
              </w:rPr>
            </w:pPr>
            <w:r>
              <w:t>10%</w:t>
            </w:r>
          </w:p>
        </w:tc>
      </w:tr>
      <w:tr w14:paraId="311E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2B4FC79">
            <w:pPr>
              <w:ind w:left="-90" w:right="-108"/>
              <w:jc w:val="center"/>
            </w:pPr>
            <w:r>
              <w:t>6</w:t>
            </w:r>
          </w:p>
        </w:tc>
        <w:tc>
          <w:tcPr>
            <w:tcW w:w="2093" w:type="dxa"/>
            <w:gridSpan w:val="2"/>
            <w:vAlign w:val="center"/>
          </w:tcPr>
          <w:p w14:paraId="144676F1">
            <w:pPr>
              <w:jc w:val="both"/>
              <w:rPr>
                <w:rFonts w:eastAsia="Calibri"/>
                <w:sz w:val="24"/>
                <w:szCs w:val="24"/>
              </w:rPr>
            </w:pPr>
            <w:r>
              <w:t xml:space="preserve">Mampu menganalisis Hakikat, Instrumentasi, dan Praksis </w:t>
            </w:r>
            <w:r>
              <w:rPr>
                <w:b/>
                <w:bCs/>
              </w:rPr>
              <w:t>Demokrasi Indonesia Berlandaskan Pancasila</w:t>
            </w:r>
            <w:r>
              <w:t>.</w:t>
            </w:r>
          </w:p>
        </w:tc>
        <w:tc>
          <w:tcPr>
            <w:tcW w:w="1882" w:type="dxa"/>
            <w:gridSpan w:val="2"/>
            <w:vAlign w:val="center"/>
          </w:tcPr>
          <w:p w14:paraId="6E4DB761">
            <w:pPr>
              <w:jc w:val="both"/>
              <w:rPr>
                <w:rFonts w:eastAsia="Calibri"/>
                <w:b/>
                <w:sz w:val="24"/>
                <w:szCs w:val="24"/>
              </w:rPr>
            </w:pPr>
            <w:r>
              <w:t>-</w:t>
            </w:r>
          </w:p>
        </w:tc>
        <w:tc>
          <w:tcPr>
            <w:tcW w:w="1942" w:type="dxa"/>
            <w:gridSpan w:val="2"/>
            <w:vAlign w:val="center"/>
          </w:tcPr>
          <w:p w14:paraId="3680F2CC">
            <w:pPr>
              <w:jc w:val="both"/>
              <w:rPr>
                <w:rFonts w:eastAsia="Calibri"/>
                <w:b/>
                <w:sz w:val="24"/>
                <w:szCs w:val="24"/>
              </w:rPr>
            </w:pPr>
            <w:r>
              <w:t xml:space="preserve">Indikator: Partisipasi Aktif (A4). Bobot: </w:t>
            </w:r>
          </w:p>
        </w:tc>
        <w:tc>
          <w:tcPr>
            <w:tcW w:w="1703" w:type="dxa"/>
            <w:gridSpan w:val="3"/>
            <w:vAlign w:val="center"/>
          </w:tcPr>
          <w:p w14:paraId="0BEF4338">
            <w:pPr>
              <w:jc w:val="both"/>
              <w:rPr>
                <w:rFonts w:eastAsia="MinionPro-Bold"/>
                <w:color w:val="000000" w:themeColor="text1"/>
                <w:sz w:val="24"/>
                <w:szCs w:val="24"/>
                <w:lang w:val="zh-CN"/>
                <w14:textFill>
                  <w14:solidFill>
                    <w14:schemeClr w14:val="tx1"/>
                  </w14:solidFill>
                </w14:textFill>
              </w:rPr>
            </w:pPr>
            <w:r>
              <w:t>Diskusi Panel (Simulasi Musyawarah)</w:t>
            </w:r>
          </w:p>
        </w:tc>
        <w:tc>
          <w:tcPr>
            <w:tcW w:w="1855" w:type="dxa"/>
            <w:gridSpan w:val="3"/>
            <w:vAlign w:val="center"/>
          </w:tcPr>
          <w:p w14:paraId="74F27D47">
            <w:pPr>
              <w:rPr>
                <w:rFonts w:eastAsia="Calibri"/>
                <w:b/>
              </w:rPr>
            </w:pPr>
          </w:p>
        </w:tc>
        <w:tc>
          <w:tcPr>
            <w:tcW w:w="1559" w:type="dxa"/>
            <w:gridSpan w:val="2"/>
            <w:vAlign w:val="center"/>
          </w:tcPr>
          <w:p w14:paraId="15BD0701">
            <w:pPr>
              <w:jc w:val="both"/>
              <w:rPr>
                <w:rFonts w:eastAsia="Calibri"/>
                <w:bCs/>
                <w:sz w:val="24"/>
                <w:szCs w:val="24"/>
              </w:rPr>
            </w:pPr>
            <w:r>
              <w:t>Demokrasi Pancasila: Sejarah, Prinsip, dan Penerapan dalam Kehidupan Berbangsa.</w:t>
            </w:r>
          </w:p>
        </w:tc>
        <w:tc>
          <w:tcPr>
            <w:tcW w:w="1140" w:type="dxa"/>
            <w:vAlign w:val="center"/>
          </w:tcPr>
          <w:p w14:paraId="0FC26EBC">
            <w:pPr>
              <w:jc w:val="center"/>
              <w:rPr>
                <w:rFonts w:eastAsia="Calibri"/>
                <w:b/>
              </w:rPr>
            </w:pPr>
            <w:r>
              <w:t xml:space="preserve">5% </w:t>
            </w:r>
          </w:p>
        </w:tc>
      </w:tr>
      <w:tr w14:paraId="30C8B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4B4D057E">
            <w:pPr>
              <w:ind w:left="-90" w:right="-108"/>
              <w:jc w:val="center"/>
              <w:rPr>
                <w:rFonts w:eastAsia="Calibri"/>
                <w:b/>
              </w:rPr>
            </w:pPr>
            <w:r>
              <w:t>7</w:t>
            </w:r>
          </w:p>
        </w:tc>
        <w:tc>
          <w:tcPr>
            <w:tcW w:w="2093" w:type="dxa"/>
            <w:gridSpan w:val="2"/>
            <w:vAlign w:val="center"/>
          </w:tcPr>
          <w:p w14:paraId="64D88C50">
            <w:pPr>
              <w:jc w:val="both"/>
              <w:rPr>
                <w:rFonts w:eastAsia="Calibri"/>
                <w:sz w:val="24"/>
                <w:szCs w:val="24"/>
              </w:rPr>
            </w:pPr>
            <w:r>
              <w:t xml:space="preserve">Mampu menganalisis Konsep dan Urgensi </w:t>
            </w:r>
            <w:r>
              <w:rPr>
                <w:b/>
                <w:bCs/>
              </w:rPr>
              <w:t>HAM dan Rule of Law (Negara Hukum)</w:t>
            </w:r>
            <w:r>
              <w:t>.</w:t>
            </w:r>
          </w:p>
        </w:tc>
        <w:tc>
          <w:tcPr>
            <w:tcW w:w="1882" w:type="dxa"/>
            <w:gridSpan w:val="2"/>
            <w:vAlign w:val="center"/>
          </w:tcPr>
          <w:p w14:paraId="628BCC3A">
            <w:pPr>
              <w:jc w:val="both"/>
              <w:rPr>
                <w:rFonts w:eastAsia="Calibri"/>
                <w:b/>
                <w:sz w:val="24"/>
                <w:szCs w:val="24"/>
              </w:rPr>
            </w:pPr>
            <w:r>
              <w:t>Persiapan Ujian Tengah Semester (UTS).</w:t>
            </w:r>
          </w:p>
        </w:tc>
        <w:tc>
          <w:tcPr>
            <w:tcW w:w="1942" w:type="dxa"/>
            <w:gridSpan w:val="2"/>
            <w:vAlign w:val="center"/>
          </w:tcPr>
          <w:p w14:paraId="2826ADE1">
            <w:pPr>
              <w:jc w:val="both"/>
              <w:rPr>
                <w:rFonts w:eastAsia="Calibri"/>
                <w:b/>
                <w:sz w:val="24"/>
                <w:szCs w:val="24"/>
              </w:rPr>
            </w:pPr>
            <w:r>
              <w:t xml:space="preserve">Indikator: Penguasaan Konsep. </w:t>
            </w:r>
          </w:p>
        </w:tc>
        <w:tc>
          <w:tcPr>
            <w:tcW w:w="1703" w:type="dxa"/>
            <w:gridSpan w:val="3"/>
            <w:vAlign w:val="center"/>
          </w:tcPr>
          <w:p w14:paraId="6EE95E49">
            <w:pPr>
              <w:jc w:val="both"/>
              <w:rPr>
                <w:rFonts w:eastAsia="Calibri"/>
                <w:sz w:val="24"/>
                <w:szCs w:val="24"/>
              </w:rPr>
            </w:pPr>
            <w:r>
              <w:rPr>
                <w:i/>
                <w:iCs/>
              </w:rPr>
              <w:t>Role Play &amp; Simulation</w:t>
            </w:r>
          </w:p>
        </w:tc>
        <w:tc>
          <w:tcPr>
            <w:tcW w:w="1855" w:type="dxa"/>
            <w:gridSpan w:val="3"/>
            <w:vAlign w:val="center"/>
          </w:tcPr>
          <w:p w14:paraId="09D316A7">
            <w:pPr>
              <w:rPr>
                <w:rFonts w:eastAsia="Calibri"/>
                <w:b/>
              </w:rPr>
            </w:pPr>
          </w:p>
        </w:tc>
        <w:tc>
          <w:tcPr>
            <w:tcW w:w="1559" w:type="dxa"/>
            <w:gridSpan w:val="2"/>
            <w:vAlign w:val="center"/>
          </w:tcPr>
          <w:p w14:paraId="0218A92A">
            <w:pPr>
              <w:jc w:val="both"/>
              <w:rPr>
                <w:rFonts w:eastAsia="Calibri"/>
                <w:bCs/>
                <w:sz w:val="24"/>
                <w:szCs w:val="24"/>
              </w:rPr>
            </w:pPr>
            <w:r>
              <w:t>Hak Asasi Manusia (HAM): Sejarah, Penggolongan, dan Mekanisme Penegakan di Indonesia (termasuk keadilan dalam K3).</w:t>
            </w:r>
          </w:p>
        </w:tc>
        <w:tc>
          <w:tcPr>
            <w:tcW w:w="1140" w:type="dxa"/>
            <w:vAlign w:val="center"/>
          </w:tcPr>
          <w:p w14:paraId="071E4EFB">
            <w:pPr>
              <w:jc w:val="center"/>
              <w:rPr>
                <w:rFonts w:eastAsia="Calibri"/>
                <w:b/>
              </w:rPr>
            </w:pPr>
            <w:r>
              <w:t>Bobot: -</w:t>
            </w:r>
          </w:p>
        </w:tc>
      </w:tr>
      <w:tr w14:paraId="47113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5DCB8985">
            <w:pPr>
              <w:ind w:left="-90" w:right="-108"/>
              <w:jc w:val="center"/>
            </w:pPr>
            <w:r>
              <w:t xml:space="preserve">8 </w:t>
            </w:r>
          </w:p>
        </w:tc>
        <w:tc>
          <w:tcPr>
            <w:tcW w:w="2093" w:type="dxa"/>
            <w:gridSpan w:val="2"/>
            <w:vAlign w:val="center"/>
          </w:tcPr>
          <w:p w14:paraId="646796AB">
            <w:pPr>
              <w:jc w:val="both"/>
            </w:pPr>
            <w:r>
              <w:rPr>
                <w:b/>
                <w:bCs/>
              </w:rPr>
              <w:t>Ujian Tengah Semester (UTS)</w:t>
            </w:r>
          </w:p>
        </w:tc>
        <w:tc>
          <w:tcPr>
            <w:tcW w:w="1882" w:type="dxa"/>
            <w:gridSpan w:val="2"/>
            <w:vAlign w:val="center"/>
          </w:tcPr>
          <w:p w14:paraId="750C18C7">
            <w:pPr>
              <w:jc w:val="both"/>
            </w:pPr>
            <w:r>
              <w:t>-</w:t>
            </w:r>
          </w:p>
        </w:tc>
        <w:tc>
          <w:tcPr>
            <w:tcW w:w="1942" w:type="dxa"/>
            <w:gridSpan w:val="2"/>
            <w:vAlign w:val="center"/>
          </w:tcPr>
          <w:p w14:paraId="6C1F7164">
            <w:pPr>
              <w:jc w:val="both"/>
            </w:pPr>
            <w:r>
              <w:t xml:space="preserve">Indikator: Kedalaman Analisis &amp; Pemahaman </w:t>
            </w:r>
          </w:p>
        </w:tc>
        <w:tc>
          <w:tcPr>
            <w:tcW w:w="1703" w:type="dxa"/>
            <w:gridSpan w:val="3"/>
            <w:vAlign w:val="center"/>
          </w:tcPr>
          <w:p w14:paraId="0D4E0723">
            <w:pPr>
              <w:jc w:val="both"/>
              <w:rPr>
                <w:rFonts w:eastAsia="Calibri"/>
                <w:sz w:val="24"/>
                <w:szCs w:val="24"/>
              </w:rPr>
            </w:pPr>
            <w:r>
              <w:t>Tes Tertulis (Esai Analisis)</w:t>
            </w:r>
          </w:p>
        </w:tc>
        <w:tc>
          <w:tcPr>
            <w:tcW w:w="1855" w:type="dxa"/>
            <w:gridSpan w:val="3"/>
            <w:vAlign w:val="center"/>
          </w:tcPr>
          <w:p w14:paraId="05747C4C"/>
        </w:tc>
        <w:tc>
          <w:tcPr>
            <w:tcW w:w="1559" w:type="dxa"/>
            <w:gridSpan w:val="2"/>
            <w:vAlign w:val="center"/>
          </w:tcPr>
          <w:p w14:paraId="60D11406">
            <w:pPr>
              <w:jc w:val="both"/>
            </w:pPr>
            <w:r>
              <w:t>Menguji CPMK 1 dan CPMK 2</w:t>
            </w:r>
          </w:p>
        </w:tc>
        <w:tc>
          <w:tcPr>
            <w:tcW w:w="1140" w:type="dxa"/>
            <w:vAlign w:val="center"/>
          </w:tcPr>
          <w:p w14:paraId="4FFA0EA8">
            <w:pPr>
              <w:jc w:val="center"/>
            </w:pPr>
            <w:r>
              <w:rPr>
                <w:b/>
                <w:bCs/>
              </w:rPr>
              <w:t>25%</w:t>
            </w:r>
          </w:p>
        </w:tc>
      </w:tr>
      <w:tr w14:paraId="23AB5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345813E5">
            <w:pPr>
              <w:ind w:left="-90" w:right="-108"/>
              <w:jc w:val="center"/>
              <w:rPr>
                <w:rFonts w:eastAsia="Calibri"/>
                <w:b/>
              </w:rPr>
            </w:pPr>
            <w:r>
              <w:t>9</w:t>
            </w:r>
          </w:p>
        </w:tc>
        <w:tc>
          <w:tcPr>
            <w:tcW w:w="2093" w:type="dxa"/>
            <w:gridSpan w:val="2"/>
            <w:vAlign w:val="center"/>
          </w:tcPr>
          <w:p w14:paraId="31FFFD6D">
            <w:pPr>
              <w:jc w:val="both"/>
              <w:rPr>
                <w:rFonts w:eastAsia="Calibri"/>
                <w:sz w:val="24"/>
                <w:szCs w:val="24"/>
              </w:rPr>
            </w:pPr>
            <w:r>
              <w:t xml:space="preserve">Mampu menganalisis </w:t>
            </w:r>
            <w:r>
              <w:rPr>
                <w:b/>
                <w:bCs/>
              </w:rPr>
              <w:t>Wawasan Nusantara</w:t>
            </w:r>
            <w:r>
              <w:t xml:space="preserve"> sebagai Geopolitik Indonesia.</w:t>
            </w:r>
          </w:p>
        </w:tc>
        <w:tc>
          <w:tcPr>
            <w:tcW w:w="1882" w:type="dxa"/>
            <w:gridSpan w:val="2"/>
            <w:vAlign w:val="center"/>
          </w:tcPr>
          <w:p w14:paraId="44AA1225">
            <w:pPr>
              <w:jc w:val="both"/>
              <w:rPr>
                <w:rFonts w:eastAsia="Calibri"/>
                <w:b/>
                <w:sz w:val="24"/>
                <w:szCs w:val="24"/>
              </w:rPr>
            </w:pPr>
            <w:r>
              <w:t>-</w:t>
            </w:r>
          </w:p>
        </w:tc>
        <w:tc>
          <w:tcPr>
            <w:tcW w:w="1942" w:type="dxa"/>
            <w:gridSpan w:val="2"/>
            <w:vAlign w:val="center"/>
          </w:tcPr>
          <w:p w14:paraId="4B86DD39">
            <w:pPr>
              <w:jc w:val="both"/>
              <w:rPr>
                <w:rFonts w:eastAsia="Calibri"/>
                <w:b/>
                <w:sz w:val="24"/>
                <w:szCs w:val="24"/>
              </w:rPr>
            </w:pPr>
            <w:r>
              <w:t xml:space="preserve">Indikator: Ketepatan </w:t>
            </w:r>
          </w:p>
        </w:tc>
        <w:tc>
          <w:tcPr>
            <w:tcW w:w="1703" w:type="dxa"/>
            <w:gridSpan w:val="3"/>
            <w:vAlign w:val="center"/>
          </w:tcPr>
          <w:p w14:paraId="0FE1AE00">
            <w:pPr>
              <w:jc w:val="both"/>
              <w:rPr>
                <w:rFonts w:eastAsia="Calibri"/>
                <w:sz w:val="24"/>
                <w:szCs w:val="24"/>
              </w:rPr>
            </w:pPr>
            <w:r>
              <w:t>Ceramah Interaktif &amp; Diskusi</w:t>
            </w:r>
          </w:p>
        </w:tc>
        <w:tc>
          <w:tcPr>
            <w:tcW w:w="1855" w:type="dxa"/>
            <w:gridSpan w:val="3"/>
            <w:vAlign w:val="center"/>
          </w:tcPr>
          <w:p w14:paraId="5FDCE4C1">
            <w:pPr>
              <w:rPr>
                <w:rFonts w:eastAsia="Calibri"/>
                <w:b/>
              </w:rPr>
            </w:pPr>
          </w:p>
        </w:tc>
        <w:tc>
          <w:tcPr>
            <w:tcW w:w="1559" w:type="dxa"/>
            <w:gridSpan w:val="2"/>
            <w:vAlign w:val="center"/>
          </w:tcPr>
          <w:p w14:paraId="3840A724">
            <w:pPr>
              <w:jc w:val="both"/>
              <w:rPr>
                <w:rFonts w:eastAsia="Calibri"/>
                <w:bCs/>
                <w:sz w:val="24"/>
                <w:szCs w:val="24"/>
              </w:rPr>
            </w:pPr>
            <w:r>
              <w:t>Wawasan Nusantara: Konsep, Implementasi, dan Tantangan (termasuk K3 di wilayah maritim/kepulauan).</w:t>
            </w:r>
          </w:p>
        </w:tc>
        <w:tc>
          <w:tcPr>
            <w:tcW w:w="1140" w:type="dxa"/>
            <w:vAlign w:val="center"/>
          </w:tcPr>
          <w:p w14:paraId="2358E08E">
            <w:pPr>
              <w:jc w:val="center"/>
              <w:rPr>
                <w:rFonts w:eastAsia="Calibri"/>
                <w:b/>
              </w:rPr>
            </w:pPr>
            <w:r>
              <w:t>5%</w:t>
            </w:r>
          </w:p>
        </w:tc>
      </w:tr>
      <w:tr w14:paraId="15625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0F7DA575">
            <w:pPr>
              <w:ind w:left="-90" w:right="-108"/>
              <w:jc w:val="center"/>
            </w:pPr>
            <w:r>
              <w:t>10</w:t>
            </w:r>
          </w:p>
        </w:tc>
        <w:tc>
          <w:tcPr>
            <w:tcW w:w="2093" w:type="dxa"/>
            <w:gridSpan w:val="2"/>
            <w:vAlign w:val="center"/>
          </w:tcPr>
          <w:p w14:paraId="624135BF">
            <w:pPr>
              <w:jc w:val="both"/>
              <w:rPr>
                <w:rFonts w:eastAsia="Calibri"/>
                <w:sz w:val="24"/>
                <w:szCs w:val="24"/>
              </w:rPr>
            </w:pPr>
            <w:r>
              <w:t xml:space="preserve">Mampu menganalisis </w:t>
            </w:r>
            <w:r>
              <w:rPr>
                <w:b/>
                <w:bCs/>
              </w:rPr>
              <w:t>Ketahanan Nasional</w:t>
            </w:r>
            <w:r>
              <w:t xml:space="preserve"> sebagai Geostrategi Indonesia.</w:t>
            </w:r>
          </w:p>
        </w:tc>
        <w:tc>
          <w:tcPr>
            <w:tcW w:w="1882" w:type="dxa"/>
            <w:gridSpan w:val="2"/>
            <w:vAlign w:val="center"/>
          </w:tcPr>
          <w:p w14:paraId="7AB7BBB9">
            <w:pPr>
              <w:jc w:val="both"/>
              <w:rPr>
                <w:rFonts w:eastAsia="Calibri"/>
                <w:b/>
                <w:sz w:val="24"/>
                <w:szCs w:val="24"/>
              </w:rPr>
            </w:pPr>
            <w:r>
              <w:t>Analisis Ancaman dan Ketahanan Nasional di sektor industri (misal: energi, pertambangan).</w:t>
            </w:r>
          </w:p>
        </w:tc>
        <w:tc>
          <w:tcPr>
            <w:tcW w:w="1942" w:type="dxa"/>
            <w:gridSpan w:val="2"/>
            <w:vAlign w:val="center"/>
          </w:tcPr>
          <w:p w14:paraId="75A99227">
            <w:pPr>
              <w:jc w:val="both"/>
              <w:rPr>
                <w:rFonts w:eastAsia="Calibri"/>
                <w:b/>
                <w:sz w:val="24"/>
                <w:szCs w:val="24"/>
              </w:rPr>
            </w:pPr>
            <w:r>
              <w:t xml:space="preserve">Indikator: Kedalaman Analisis </w:t>
            </w:r>
          </w:p>
        </w:tc>
        <w:tc>
          <w:tcPr>
            <w:tcW w:w="1703" w:type="dxa"/>
            <w:gridSpan w:val="3"/>
            <w:vAlign w:val="center"/>
          </w:tcPr>
          <w:p w14:paraId="0558DC61">
            <w:pPr>
              <w:jc w:val="both"/>
              <w:rPr>
                <w:rFonts w:eastAsia="Calibri"/>
                <w:sz w:val="24"/>
                <w:szCs w:val="24"/>
              </w:rPr>
            </w:pPr>
            <w:r>
              <w:rPr>
                <w:i/>
                <w:iCs/>
              </w:rPr>
              <w:t>Contextual Learning (CTL)</w:t>
            </w:r>
          </w:p>
        </w:tc>
        <w:tc>
          <w:tcPr>
            <w:tcW w:w="1855" w:type="dxa"/>
            <w:gridSpan w:val="3"/>
            <w:vAlign w:val="center"/>
          </w:tcPr>
          <w:p w14:paraId="3D0B329B">
            <w:pPr>
              <w:rPr>
                <w:rFonts w:eastAsia="Calibri"/>
                <w:b/>
              </w:rPr>
            </w:pPr>
          </w:p>
        </w:tc>
        <w:tc>
          <w:tcPr>
            <w:tcW w:w="1559" w:type="dxa"/>
            <w:gridSpan w:val="2"/>
            <w:vAlign w:val="center"/>
          </w:tcPr>
          <w:p w14:paraId="71A13514">
            <w:pPr>
              <w:jc w:val="both"/>
              <w:rPr>
                <w:rFonts w:eastAsia="Calibri"/>
                <w:bCs/>
                <w:sz w:val="24"/>
                <w:szCs w:val="24"/>
              </w:rPr>
            </w:pPr>
            <w:r>
              <w:t>Ketahanan Nasional: Hakikat, Aspek Asta Gatra, dan Relevansi untuk Pembangunan Nasional (Kaitannya dengan K3 dan Sektor Industri Kritis).</w:t>
            </w:r>
          </w:p>
        </w:tc>
        <w:tc>
          <w:tcPr>
            <w:tcW w:w="1140" w:type="dxa"/>
            <w:vAlign w:val="center"/>
          </w:tcPr>
          <w:p w14:paraId="507E3920">
            <w:pPr>
              <w:jc w:val="center"/>
              <w:rPr>
                <w:rFonts w:eastAsia="Calibri"/>
                <w:b/>
              </w:rPr>
            </w:pPr>
            <w:r>
              <w:t>5%</w:t>
            </w:r>
          </w:p>
        </w:tc>
      </w:tr>
      <w:tr w14:paraId="1EAE6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C934EFE">
            <w:pPr>
              <w:ind w:left="-90" w:right="-108"/>
              <w:jc w:val="center"/>
              <w:rPr>
                <w:rFonts w:eastAsia="Calibri"/>
                <w:b/>
              </w:rPr>
            </w:pPr>
            <w:r>
              <w:t>11</w:t>
            </w:r>
          </w:p>
        </w:tc>
        <w:tc>
          <w:tcPr>
            <w:tcW w:w="2093" w:type="dxa"/>
            <w:gridSpan w:val="2"/>
            <w:vAlign w:val="center"/>
          </w:tcPr>
          <w:p w14:paraId="5A4A2BBB">
            <w:pPr>
              <w:jc w:val="both"/>
              <w:rPr>
                <w:rFonts w:eastAsia="Calibri"/>
                <w:sz w:val="24"/>
                <w:szCs w:val="24"/>
              </w:rPr>
            </w:pPr>
            <w:r>
              <w:t>Mampu menginternalisasi nilai, etika, moral, dan karakter warga negara profesional.</w:t>
            </w:r>
          </w:p>
        </w:tc>
        <w:tc>
          <w:tcPr>
            <w:tcW w:w="1882" w:type="dxa"/>
            <w:gridSpan w:val="2"/>
            <w:vAlign w:val="center"/>
          </w:tcPr>
          <w:p w14:paraId="6A7C8D62">
            <w:pPr>
              <w:jc w:val="both"/>
              <w:rPr>
                <w:rFonts w:eastAsia="Calibri"/>
                <w:b/>
                <w:sz w:val="24"/>
                <w:szCs w:val="24"/>
              </w:rPr>
            </w:pPr>
            <w:r>
              <w:t xml:space="preserve">Membuat </w:t>
            </w:r>
            <w:r>
              <w:rPr>
                <w:i/>
                <w:iCs/>
              </w:rPr>
              <w:t>Self-Reflection Paper</w:t>
            </w:r>
            <w:r>
              <w:t xml:space="preserve"> tentang etika profesi K3.</w:t>
            </w:r>
          </w:p>
        </w:tc>
        <w:tc>
          <w:tcPr>
            <w:tcW w:w="1942" w:type="dxa"/>
            <w:gridSpan w:val="2"/>
            <w:vAlign w:val="center"/>
          </w:tcPr>
          <w:p w14:paraId="4748CA62">
            <w:pPr>
              <w:jc w:val="both"/>
              <w:rPr>
                <w:rFonts w:eastAsia="Calibri"/>
                <w:b/>
                <w:sz w:val="24"/>
                <w:szCs w:val="24"/>
              </w:rPr>
            </w:pPr>
            <w:r>
              <w:t xml:space="preserve">Indikator: Internalisasi Nilai </w:t>
            </w:r>
          </w:p>
        </w:tc>
        <w:tc>
          <w:tcPr>
            <w:tcW w:w="1703" w:type="dxa"/>
            <w:gridSpan w:val="3"/>
            <w:vAlign w:val="center"/>
          </w:tcPr>
          <w:p w14:paraId="4E88ED03">
            <w:pPr>
              <w:jc w:val="both"/>
              <w:rPr>
                <w:rFonts w:eastAsia="Calibri"/>
                <w:sz w:val="24"/>
                <w:szCs w:val="24"/>
              </w:rPr>
            </w:pPr>
            <w:r>
              <w:rPr>
                <w:i/>
                <w:iCs/>
              </w:rPr>
              <w:t>Reflective Discussion</w:t>
            </w:r>
          </w:p>
        </w:tc>
        <w:tc>
          <w:tcPr>
            <w:tcW w:w="1855" w:type="dxa"/>
            <w:gridSpan w:val="3"/>
            <w:vAlign w:val="center"/>
          </w:tcPr>
          <w:p w14:paraId="75F97D01">
            <w:pPr>
              <w:rPr>
                <w:rFonts w:eastAsia="Calibri"/>
                <w:b/>
              </w:rPr>
            </w:pPr>
          </w:p>
        </w:tc>
        <w:tc>
          <w:tcPr>
            <w:tcW w:w="1559" w:type="dxa"/>
            <w:gridSpan w:val="2"/>
            <w:vAlign w:val="center"/>
          </w:tcPr>
          <w:p w14:paraId="7F3D854C">
            <w:pPr>
              <w:jc w:val="both"/>
              <w:rPr>
                <w:rFonts w:eastAsia="Calibri"/>
                <w:bCs/>
                <w:sz w:val="24"/>
                <w:szCs w:val="24"/>
              </w:rPr>
            </w:pPr>
            <w:r>
              <w:t>Etika dan Moralitas Kewarganegaraan: Profesionalisme, Tanggung Jawab, dan Kedisiplinan (</w:t>
            </w:r>
            <w:r>
              <w:rPr>
                <w:i/>
                <w:iCs/>
              </w:rPr>
              <w:t>Good Citizen</w:t>
            </w:r>
            <w:r>
              <w:t>) dalam Profesi K3.</w:t>
            </w:r>
          </w:p>
        </w:tc>
        <w:tc>
          <w:tcPr>
            <w:tcW w:w="1140" w:type="dxa"/>
            <w:vAlign w:val="center"/>
          </w:tcPr>
          <w:p w14:paraId="762FB136">
            <w:pPr>
              <w:jc w:val="center"/>
              <w:rPr>
                <w:rFonts w:eastAsia="Calibri"/>
                <w:b/>
              </w:rPr>
            </w:pPr>
            <w:r>
              <w:t>5%</w:t>
            </w:r>
          </w:p>
        </w:tc>
      </w:tr>
      <w:tr w14:paraId="64098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6CF3B408">
            <w:pPr>
              <w:ind w:left="-90" w:right="-108"/>
              <w:jc w:val="center"/>
            </w:pPr>
            <w:r>
              <w:t>12</w:t>
            </w:r>
          </w:p>
        </w:tc>
        <w:tc>
          <w:tcPr>
            <w:tcW w:w="2093" w:type="dxa"/>
            <w:gridSpan w:val="2"/>
            <w:vAlign w:val="center"/>
          </w:tcPr>
          <w:p w14:paraId="5C4E9994">
            <w:pPr>
              <w:jc w:val="both"/>
              <w:rPr>
                <w:rFonts w:eastAsia="Calibri"/>
                <w:sz w:val="24"/>
                <w:szCs w:val="24"/>
              </w:rPr>
            </w:pPr>
            <w:r>
              <w:t xml:space="preserve">Mampu menganalisis konsep dan implementasi </w:t>
            </w:r>
            <w:r>
              <w:rPr>
                <w:b/>
                <w:bCs/>
              </w:rPr>
              <w:t>Bela Negara</w:t>
            </w:r>
            <w:r>
              <w:t>.</w:t>
            </w:r>
          </w:p>
        </w:tc>
        <w:tc>
          <w:tcPr>
            <w:tcW w:w="1882" w:type="dxa"/>
            <w:gridSpan w:val="2"/>
            <w:vAlign w:val="center"/>
          </w:tcPr>
          <w:p w14:paraId="4E66BA93">
            <w:pPr>
              <w:jc w:val="both"/>
              <w:rPr>
                <w:rFonts w:eastAsia="Calibri"/>
                <w:b/>
                <w:sz w:val="24"/>
                <w:szCs w:val="24"/>
              </w:rPr>
            </w:pPr>
            <w:r>
              <w:t>Presentasi Laporan Kelompok (Tugas Besar).</w:t>
            </w:r>
          </w:p>
        </w:tc>
        <w:tc>
          <w:tcPr>
            <w:tcW w:w="1942" w:type="dxa"/>
            <w:gridSpan w:val="2"/>
            <w:vAlign w:val="center"/>
          </w:tcPr>
          <w:p w14:paraId="56108440">
            <w:pPr>
              <w:jc w:val="both"/>
              <w:rPr>
                <w:rFonts w:eastAsia="Calibri"/>
                <w:b/>
                <w:sz w:val="24"/>
                <w:szCs w:val="24"/>
              </w:rPr>
            </w:pPr>
            <w:r>
              <w:t xml:space="preserve">Indikator: Kualitas Presentasi (P1). </w:t>
            </w:r>
          </w:p>
        </w:tc>
        <w:tc>
          <w:tcPr>
            <w:tcW w:w="1703" w:type="dxa"/>
            <w:gridSpan w:val="3"/>
            <w:vAlign w:val="center"/>
          </w:tcPr>
          <w:p w14:paraId="52AE65D6">
            <w:pPr>
              <w:jc w:val="both"/>
              <w:rPr>
                <w:rFonts w:eastAsia="Calibri"/>
                <w:sz w:val="24"/>
                <w:szCs w:val="24"/>
              </w:rPr>
            </w:pPr>
            <w:r>
              <w:rPr>
                <w:i/>
                <w:iCs/>
              </w:rPr>
              <w:t>Project Based Learning (PjBL)</w:t>
            </w:r>
          </w:p>
        </w:tc>
        <w:tc>
          <w:tcPr>
            <w:tcW w:w="1855" w:type="dxa"/>
            <w:gridSpan w:val="3"/>
            <w:vAlign w:val="center"/>
          </w:tcPr>
          <w:p w14:paraId="0785B3BD">
            <w:pPr>
              <w:rPr>
                <w:rFonts w:eastAsia="Calibri"/>
                <w:b/>
              </w:rPr>
            </w:pPr>
          </w:p>
        </w:tc>
        <w:tc>
          <w:tcPr>
            <w:tcW w:w="1559" w:type="dxa"/>
            <w:gridSpan w:val="2"/>
            <w:vAlign w:val="center"/>
          </w:tcPr>
          <w:p w14:paraId="2F4D09D7">
            <w:pPr>
              <w:jc w:val="both"/>
              <w:rPr>
                <w:rFonts w:eastAsia="Calibri"/>
                <w:bCs/>
                <w:sz w:val="24"/>
                <w:szCs w:val="24"/>
              </w:rPr>
            </w:pPr>
            <w:r>
              <w:t>Bela Negara: Konsep, Dasar Hukum, dan Implementasi dalam Kehidupan Sehari-hari (termasuk peran sarjana K3).</w:t>
            </w:r>
          </w:p>
        </w:tc>
        <w:tc>
          <w:tcPr>
            <w:tcW w:w="1140" w:type="dxa"/>
            <w:vAlign w:val="center"/>
          </w:tcPr>
          <w:p w14:paraId="397F4F14">
            <w:pPr>
              <w:jc w:val="center"/>
              <w:rPr>
                <w:rFonts w:eastAsia="Calibri"/>
                <w:b/>
              </w:rPr>
            </w:pPr>
            <w:r>
              <w:t>10%</w:t>
            </w:r>
          </w:p>
        </w:tc>
      </w:tr>
      <w:tr w14:paraId="6D7F7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44C0361C">
            <w:pPr>
              <w:ind w:left="-90" w:right="-108"/>
              <w:jc w:val="center"/>
            </w:pPr>
            <w:r>
              <w:t>13</w:t>
            </w:r>
          </w:p>
        </w:tc>
        <w:tc>
          <w:tcPr>
            <w:tcW w:w="2093" w:type="dxa"/>
            <w:gridSpan w:val="2"/>
            <w:vAlign w:val="center"/>
          </w:tcPr>
          <w:p w14:paraId="1CE8A212">
            <w:pPr>
              <w:jc w:val="both"/>
              <w:rPr>
                <w:rFonts w:eastAsia="Calibri"/>
                <w:sz w:val="24"/>
                <w:szCs w:val="24"/>
              </w:rPr>
            </w:pPr>
            <w:r>
              <w:t>Mampu menganalisis isu-isu kontemporer kewarganegaraan.</w:t>
            </w:r>
          </w:p>
        </w:tc>
        <w:tc>
          <w:tcPr>
            <w:tcW w:w="1882" w:type="dxa"/>
            <w:gridSpan w:val="2"/>
            <w:vAlign w:val="center"/>
          </w:tcPr>
          <w:p w14:paraId="239E5479">
            <w:pPr>
              <w:jc w:val="both"/>
              <w:rPr>
                <w:rFonts w:eastAsia="Calibri"/>
                <w:b/>
                <w:sz w:val="24"/>
                <w:szCs w:val="24"/>
              </w:rPr>
            </w:pPr>
            <w:r>
              <w:t>-</w:t>
            </w:r>
          </w:p>
        </w:tc>
        <w:tc>
          <w:tcPr>
            <w:tcW w:w="1942" w:type="dxa"/>
            <w:gridSpan w:val="2"/>
            <w:vAlign w:val="center"/>
          </w:tcPr>
          <w:p w14:paraId="0C1B67D3">
            <w:pPr>
              <w:jc w:val="both"/>
              <w:rPr>
                <w:rFonts w:eastAsia="Calibri"/>
                <w:b/>
                <w:sz w:val="24"/>
                <w:szCs w:val="24"/>
              </w:rPr>
            </w:pPr>
            <w:r>
              <w:t xml:space="preserve">Indikator: Kemampuan Menganalisis Isu. </w:t>
            </w:r>
          </w:p>
        </w:tc>
        <w:tc>
          <w:tcPr>
            <w:tcW w:w="1703" w:type="dxa"/>
            <w:gridSpan w:val="3"/>
            <w:vAlign w:val="center"/>
          </w:tcPr>
          <w:p w14:paraId="126AB02B">
            <w:pPr>
              <w:jc w:val="both"/>
              <w:rPr>
                <w:rFonts w:eastAsia="Calibri"/>
                <w:sz w:val="24"/>
                <w:szCs w:val="24"/>
              </w:rPr>
            </w:pPr>
            <w:r>
              <w:rPr>
                <w:i/>
                <w:iCs/>
              </w:rPr>
              <w:t>Case Study/Studi Kasus</w:t>
            </w:r>
          </w:p>
        </w:tc>
        <w:tc>
          <w:tcPr>
            <w:tcW w:w="1855" w:type="dxa"/>
            <w:gridSpan w:val="3"/>
            <w:vAlign w:val="center"/>
          </w:tcPr>
          <w:p w14:paraId="21F52309">
            <w:pPr>
              <w:rPr>
                <w:rFonts w:eastAsia="Calibri"/>
                <w:b/>
              </w:rPr>
            </w:pPr>
          </w:p>
        </w:tc>
        <w:tc>
          <w:tcPr>
            <w:tcW w:w="1559" w:type="dxa"/>
            <w:gridSpan w:val="2"/>
            <w:vAlign w:val="center"/>
          </w:tcPr>
          <w:p w14:paraId="544DD9B3">
            <w:pPr>
              <w:jc w:val="both"/>
              <w:rPr>
                <w:rFonts w:eastAsia="Calibri"/>
                <w:bCs/>
                <w:sz w:val="24"/>
                <w:szCs w:val="24"/>
              </w:rPr>
            </w:pPr>
            <w:r>
              <w:t>Isu-Isu Kontemporer: Korupsi, Lingkungan Hidup, dan Tantangan Digitalisasi dalam Perspektif Kewarganegaraan K3.</w:t>
            </w:r>
          </w:p>
        </w:tc>
        <w:tc>
          <w:tcPr>
            <w:tcW w:w="1140" w:type="dxa"/>
            <w:vAlign w:val="center"/>
          </w:tcPr>
          <w:p w14:paraId="49A5822A">
            <w:pPr>
              <w:jc w:val="center"/>
              <w:rPr>
                <w:rFonts w:eastAsia="Calibri"/>
                <w:b/>
              </w:rPr>
            </w:pPr>
            <w:r>
              <w:t>5%</w:t>
            </w:r>
          </w:p>
        </w:tc>
      </w:tr>
      <w:tr w14:paraId="465FD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0EC21758">
            <w:pPr>
              <w:ind w:left="-90" w:right="-108"/>
              <w:jc w:val="center"/>
              <w:rPr>
                <w:rFonts w:eastAsia="Calibri"/>
                <w:b/>
              </w:rPr>
            </w:pPr>
            <w:r>
              <w:t>14</w:t>
            </w:r>
          </w:p>
        </w:tc>
        <w:tc>
          <w:tcPr>
            <w:tcW w:w="2093" w:type="dxa"/>
            <w:gridSpan w:val="2"/>
            <w:vAlign w:val="center"/>
          </w:tcPr>
          <w:p w14:paraId="47063EE5">
            <w:pPr>
              <w:jc w:val="both"/>
              <w:rPr>
                <w:rFonts w:eastAsia="Calibri"/>
                <w:sz w:val="24"/>
                <w:szCs w:val="24"/>
              </w:rPr>
            </w:pPr>
            <w:r>
              <w:t xml:space="preserve">Mampu </w:t>
            </w:r>
            <w:r>
              <w:rPr>
                <w:b/>
                <w:bCs/>
              </w:rPr>
              <w:t>mensintesiskan</w:t>
            </w:r>
            <w:r>
              <w:t xml:space="preserve"> seluruh materi kewarganegaraan dan mengimplementasikannya dalam praktik K3.</w:t>
            </w:r>
          </w:p>
        </w:tc>
        <w:tc>
          <w:tcPr>
            <w:tcW w:w="1882" w:type="dxa"/>
            <w:gridSpan w:val="2"/>
            <w:vAlign w:val="center"/>
          </w:tcPr>
          <w:p w14:paraId="55A7AC4F">
            <w:pPr>
              <w:jc w:val="both"/>
              <w:rPr>
                <w:rFonts w:eastAsia="Calibri"/>
                <w:b/>
                <w:sz w:val="24"/>
                <w:szCs w:val="24"/>
              </w:rPr>
            </w:pPr>
            <w:r>
              <w:t>Penyerahan dan Diskusi Laporan Akhir Kelompok.</w:t>
            </w:r>
          </w:p>
        </w:tc>
        <w:tc>
          <w:tcPr>
            <w:tcW w:w="1942" w:type="dxa"/>
            <w:gridSpan w:val="2"/>
            <w:vAlign w:val="center"/>
          </w:tcPr>
          <w:p w14:paraId="1C8A39BA">
            <w:pPr>
              <w:jc w:val="both"/>
              <w:rPr>
                <w:rFonts w:eastAsia="Calibri"/>
                <w:b/>
                <w:sz w:val="24"/>
                <w:szCs w:val="24"/>
              </w:rPr>
            </w:pPr>
            <w:r>
              <w:t xml:space="preserve">Indikator: Keterpaduan </w:t>
            </w:r>
          </w:p>
        </w:tc>
        <w:tc>
          <w:tcPr>
            <w:tcW w:w="1703" w:type="dxa"/>
            <w:gridSpan w:val="3"/>
            <w:vAlign w:val="center"/>
          </w:tcPr>
          <w:p w14:paraId="7DD5650A">
            <w:pPr>
              <w:rPr>
                <w:rFonts w:eastAsia="Calibri"/>
                <w:sz w:val="24"/>
                <w:szCs w:val="24"/>
              </w:rPr>
            </w:pPr>
            <w:r>
              <w:t>Diskusi dan Review (Sintesis)</w:t>
            </w:r>
          </w:p>
        </w:tc>
        <w:tc>
          <w:tcPr>
            <w:tcW w:w="1855" w:type="dxa"/>
            <w:gridSpan w:val="3"/>
            <w:vAlign w:val="center"/>
          </w:tcPr>
          <w:p w14:paraId="7E9233FB">
            <w:pPr>
              <w:rPr>
                <w:rFonts w:eastAsia="Calibri"/>
                <w:b/>
              </w:rPr>
            </w:pPr>
          </w:p>
        </w:tc>
        <w:tc>
          <w:tcPr>
            <w:tcW w:w="1559" w:type="dxa"/>
            <w:gridSpan w:val="2"/>
            <w:vAlign w:val="center"/>
          </w:tcPr>
          <w:p w14:paraId="49E10E0F">
            <w:pPr>
              <w:jc w:val="both"/>
              <w:rPr>
                <w:rFonts w:eastAsia="Calibri"/>
                <w:bCs/>
                <w:sz w:val="24"/>
                <w:szCs w:val="24"/>
              </w:rPr>
            </w:pPr>
            <w:r>
              <w:t>Implementasi Kewarganegaraan dalam Pengembangan K3 (Analisis Kasus Terpadu: Etika, Hukum, Nasionalisme K3).</w:t>
            </w:r>
          </w:p>
        </w:tc>
        <w:tc>
          <w:tcPr>
            <w:tcW w:w="1140" w:type="dxa"/>
            <w:vAlign w:val="center"/>
          </w:tcPr>
          <w:p w14:paraId="59E52240">
            <w:pPr>
              <w:jc w:val="center"/>
              <w:rPr>
                <w:rFonts w:eastAsia="Calibri"/>
                <w:b/>
              </w:rPr>
            </w:pPr>
            <w:r>
              <w:t>5%</w:t>
            </w:r>
          </w:p>
        </w:tc>
      </w:tr>
      <w:tr w14:paraId="5B245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0A7F4A72">
            <w:pPr>
              <w:ind w:left="-90" w:right="-108"/>
              <w:jc w:val="center"/>
            </w:pPr>
            <w:r>
              <w:t>15</w:t>
            </w:r>
          </w:p>
        </w:tc>
        <w:tc>
          <w:tcPr>
            <w:tcW w:w="2093" w:type="dxa"/>
            <w:gridSpan w:val="2"/>
            <w:vAlign w:val="center"/>
          </w:tcPr>
          <w:p w14:paraId="5057B993">
            <w:pPr>
              <w:jc w:val="both"/>
              <w:rPr>
                <w:rFonts w:eastAsia="Calibri"/>
                <w:sz w:val="24"/>
                <w:szCs w:val="24"/>
              </w:rPr>
            </w:pPr>
            <w:r>
              <w:rPr>
                <w:b/>
                <w:bCs/>
              </w:rPr>
              <w:t xml:space="preserve">Evaluais </w:t>
            </w:r>
            <w:r>
              <w:t xml:space="preserve">sub pokok pertemuan pasca uts </w:t>
            </w:r>
          </w:p>
        </w:tc>
        <w:tc>
          <w:tcPr>
            <w:tcW w:w="1882" w:type="dxa"/>
            <w:gridSpan w:val="2"/>
            <w:vAlign w:val="center"/>
          </w:tcPr>
          <w:p w14:paraId="50772527">
            <w:pPr>
              <w:jc w:val="both"/>
              <w:rPr>
                <w:rFonts w:eastAsia="Calibri"/>
                <w:b/>
                <w:sz w:val="24"/>
                <w:szCs w:val="24"/>
              </w:rPr>
            </w:pPr>
            <w:r>
              <w:t>Persiapan Ujian Tengah Semester (UAS).</w:t>
            </w:r>
          </w:p>
        </w:tc>
        <w:tc>
          <w:tcPr>
            <w:tcW w:w="1942" w:type="dxa"/>
            <w:gridSpan w:val="2"/>
            <w:vAlign w:val="center"/>
          </w:tcPr>
          <w:p w14:paraId="05D92077">
            <w:pPr>
              <w:jc w:val="both"/>
              <w:rPr>
                <w:rFonts w:eastAsia="Calibri"/>
                <w:b/>
                <w:sz w:val="24"/>
                <w:szCs w:val="24"/>
              </w:rPr>
            </w:pPr>
            <w:r>
              <w:t xml:space="preserve">Indikator: Penguasaan Konsep. </w:t>
            </w:r>
          </w:p>
        </w:tc>
        <w:tc>
          <w:tcPr>
            <w:tcW w:w="1703" w:type="dxa"/>
            <w:gridSpan w:val="3"/>
            <w:vAlign w:val="center"/>
          </w:tcPr>
          <w:p w14:paraId="75BF19CB">
            <w:pPr>
              <w:rPr>
                <w:rFonts w:eastAsia="Calibri"/>
                <w:sz w:val="24"/>
                <w:szCs w:val="24"/>
              </w:rPr>
            </w:pPr>
            <w:r>
              <w:rPr>
                <w:i/>
                <w:iCs/>
              </w:rPr>
              <w:t>Role Play &amp; Simulation</w:t>
            </w:r>
          </w:p>
        </w:tc>
        <w:tc>
          <w:tcPr>
            <w:tcW w:w="1855" w:type="dxa"/>
            <w:gridSpan w:val="3"/>
            <w:vAlign w:val="center"/>
          </w:tcPr>
          <w:p w14:paraId="3F4D7329">
            <w:pPr>
              <w:rPr>
                <w:rFonts w:eastAsia="Calibri"/>
                <w:b/>
              </w:rPr>
            </w:pPr>
          </w:p>
        </w:tc>
        <w:tc>
          <w:tcPr>
            <w:tcW w:w="1559" w:type="dxa"/>
            <w:gridSpan w:val="2"/>
            <w:vAlign w:val="center"/>
          </w:tcPr>
          <w:p w14:paraId="1947D3D3">
            <w:pPr>
              <w:jc w:val="both"/>
              <w:rPr>
                <w:rFonts w:eastAsia="Calibri"/>
                <w:bCs/>
                <w:sz w:val="24"/>
                <w:szCs w:val="24"/>
              </w:rPr>
            </w:pPr>
            <w:r>
              <w:t xml:space="preserve">Mengevalusi </w:t>
            </w:r>
          </w:p>
        </w:tc>
        <w:tc>
          <w:tcPr>
            <w:tcW w:w="1140" w:type="dxa"/>
            <w:vAlign w:val="center"/>
          </w:tcPr>
          <w:p w14:paraId="7395F6A7">
            <w:pPr>
              <w:jc w:val="center"/>
              <w:rPr>
                <w:rFonts w:eastAsia="Calibri"/>
                <w:b/>
              </w:rPr>
            </w:pPr>
            <w:r>
              <w:t xml:space="preserve">: </w:t>
            </w:r>
            <w:r>
              <w:rPr>
                <w:b/>
                <w:bCs/>
              </w:rPr>
              <w:t>5%</w:t>
            </w:r>
          </w:p>
        </w:tc>
      </w:tr>
      <w:tr w14:paraId="07BC4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36497326">
            <w:pPr>
              <w:ind w:left="-90" w:right="-108"/>
              <w:jc w:val="center"/>
            </w:pPr>
            <w:r>
              <w:t>16</w:t>
            </w:r>
          </w:p>
        </w:tc>
        <w:tc>
          <w:tcPr>
            <w:tcW w:w="2093" w:type="dxa"/>
            <w:gridSpan w:val="2"/>
            <w:vAlign w:val="center"/>
          </w:tcPr>
          <w:p w14:paraId="3AD34349">
            <w:pPr>
              <w:jc w:val="both"/>
            </w:pPr>
            <w:r>
              <w:rPr>
                <w:b/>
                <w:bCs/>
              </w:rPr>
              <w:t>Ujian Akhir Semester (UAS)</w:t>
            </w:r>
          </w:p>
        </w:tc>
        <w:tc>
          <w:tcPr>
            <w:tcW w:w="1882" w:type="dxa"/>
            <w:gridSpan w:val="2"/>
            <w:vAlign w:val="center"/>
          </w:tcPr>
          <w:p w14:paraId="55C91020">
            <w:pPr>
              <w:jc w:val="both"/>
            </w:pPr>
            <w:r>
              <w:t>-</w:t>
            </w:r>
          </w:p>
        </w:tc>
        <w:tc>
          <w:tcPr>
            <w:tcW w:w="1942" w:type="dxa"/>
            <w:gridSpan w:val="2"/>
            <w:vAlign w:val="center"/>
          </w:tcPr>
          <w:p w14:paraId="1D7C75D7">
            <w:pPr>
              <w:jc w:val="both"/>
            </w:pPr>
            <w:r>
              <w:t xml:space="preserve">Indikator: Kemampuan Evaluasi dan Aplikasi Nilai. </w:t>
            </w:r>
          </w:p>
        </w:tc>
        <w:tc>
          <w:tcPr>
            <w:tcW w:w="1703" w:type="dxa"/>
            <w:gridSpan w:val="3"/>
            <w:vAlign w:val="center"/>
          </w:tcPr>
          <w:p w14:paraId="4AC18741">
            <w:r>
              <w:t>Tes Tertulis (Studi Kasus Terpadu)</w:t>
            </w:r>
          </w:p>
        </w:tc>
        <w:tc>
          <w:tcPr>
            <w:tcW w:w="1855" w:type="dxa"/>
            <w:gridSpan w:val="3"/>
            <w:vAlign w:val="center"/>
          </w:tcPr>
          <w:p w14:paraId="7D6EB3C2">
            <w:pPr>
              <w:rPr>
                <w:rFonts w:eastAsia="Calibri"/>
                <w:b/>
              </w:rPr>
            </w:pPr>
          </w:p>
        </w:tc>
        <w:tc>
          <w:tcPr>
            <w:tcW w:w="1559" w:type="dxa"/>
            <w:gridSpan w:val="2"/>
            <w:vAlign w:val="center"/>
          </w:tcPr>
          <w:p w14:paraId="1AF30FF1">
            <w:pPr>
              <w:jc w:val="both"/>
            </w:pPr>
            <w:r>
              <w:t>Menguji seluruh CPMK, terutama CPMK 3</w:t>
            </w:r>
          </w:p>
        </w:tc>
        <w:tc>
          <w:tcPr>
            <w:tcW w:w="1140" w:type="dxa"/>
            <w:vAlign w:val="center"/>
          </w:tcPr>
          <w:p w14:paraId="79B74AC4">
            <w:pPr>
              <w:jc w:val="center"/>
              <w:rPr>
                <w:rFonts w:eastAsiaTheme="majorEastAsia"/>
                <w:b/>
                <w:bCs/>
              </w:rPr>
            </w:pPr>
            <w:r>
              <w:t xml:space="preserve">: </w:t>
            </w:r>
            <w:r>
              <w:rPr>
                <w:b/>
                <w:bCs/>
              </w:rPr>
              <w:t>30%</w:t>
            </w:r>
          </w:p>
        </w:tc>
      </w:tr>
    </w:tbl>
    <w:p w14:paraId="667DB3C1">
      <w:pPr>
        <w:tabs>
          <w:tab w:val="left" w:pos="900"/>
          <w:tab w:val="left" w:pos="5040"/>
          <w:tab w:val="left" w:pos="5400"/>
        </w:tabs>
        <w:rPr>
          <w:rFonts w:eastAsia="Calibri"/>
          <w:b/>
          <w:bCs/>
          <w:u w:val="single"/>
          <w:lang w:val="zh-CN"/>
        </w:rPr>
      </w:pPr>
    </w:p>
    <w:p w14:paraId="04260842">
      <w:pPr>
        <w:tabs>
          <w:tab w:val="left" w:pos="900"/>
          <w:tab w:val="left" w:pos="5040"/>
          <w:tab w:val="left" w:pos="5400"/>
        </w:tabs>
        <w:rPr>
          <w:rFonts w:eastAsia="Calibri"/>
          <w:b/>
          <w:bCs/>
          <w:u w:val="single"/>
          <w:lang w:val="zh-CN"/>
        </w:rPr>
      </w:pPr>
    </w:p>
    <w:p w14:paraId="31C72283">
      <w:pPr>
        <w:tabs>
          <w:tab w:val="left" w:pos="900"/>
          <w:tab w:val="left" w:pos="5040"/>
          <w:tab w:val="left" w:pos="5400"/>
        </w:tabs>
        <w:rPr>
          <w:rFonts w:eastAsia="Calibri"/>
          <w:b/>
          <w:bCs/>
          <w:u w:val="single"/>
          <w:lang w:val="zh-CN"/>
        </w:rPr>
      </w:pPr>
      <w:r>
        <w:rPr>
          <w:rFonts w:eastAsia="Calibri"/>
          <w:b/>
          <w:bCs/>
          <w:u w:val="single"/>
          <w:lang w:val="zh-CN"/>
        </w:rPr>
        <w:t>Rekapitulasi Bobot Penilaian</w:t>
      </w:r>
    </w:p>
    <w:p w14:paraId="5F5B7CC9">
      <w:pPr>
        <w:tabs>
          <w:tab w:val="left" w:pos="900"/>
          <w:tab w:val="left" w:pos="5040"/>
          <w:tab w:val="left" w:pos="5400"/>
        </w:tabs>
        <w:rPr>
          <w:rFonts w:eastAsia="Calibri"/>
          <w:b/>
          <w:u w:val="single"/>
        </w:rPr>
      </w:pPr>
    </w:p>
    <w:tbl>
      <w:tblPr>
        <w:tblStyle w:val="12"/>
        <w:tblW w:w="12796" w:type="dxa"/>
        <w:tblCellSpacing w:w="15" w:type="dxa"/>
        <w:tblInd w:w="0" w:type="dxa"/>
        <w:tblLayout w:type="autofit"/>
        <w:tblCellMar>
          <w:top w:w="0" w:type="dxa"/>
          <w:left w:w="0" w:type="dxa"/>
          <w:bottom w:w="0" w:type="dxa"/>
          <w:right w:w="0" w:type="dxa"/>
        </w:tblCellMar>
      </w:tblPr>
      <w:tblGrid>
        <w:gridCol w:w="6789"/>
        <w:gridCol w:w="4687"/>
        <w:gridCol w:w="1320"/>
      </w:tblGrid>
      <w:tr w14:paraId="079FF4EB">
        <w:tblPrEx>
          <w:tblCellMar>
            <w:top w:w="0" w:type="dxa"/>
            <w:left w:w="0" w:type="dxa"/>
            <w:bottom w:w="0" w:type="dxa"/>
            <w:right w:w="0" w:type="dxa"/>
          </w:tblCellMar>
        </w:tblPrEx>
        <w:trPr>
          <w:trHeight w:val="228" w:hRule="atLeast"/>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253DF5F">
            <w:pPr>
              <w:tabs>
                <w:tab w:val="left" w:pos="900"/>
                <w:tab w:val="left" w:pos="5040"/>
                <w:tab w:val="left" w:pos="5400"/>
              </w:tabs>
              <w:rPr>
                <w:rFonts w:eastAsia="Calibri"/>
                <w:u w:val="single"/>
                <w:lang w:val="zh-CN"/>
              </w:rPr>
            </w:pPr>
            <w:r>
              <w:rPr>
                <w:rFonts w:eastAsia="Calibri"/>
                <w:u w:val="single"/>
                <w:lang w:val="zh-CN"/>
              </w:rPr>
              <w:t>Komponen Penilaian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6AD2558">
            <w:pPr>
              <w:tabs>
                <w:tab w:val="left" w:pos="900"/>
                <w:tab w:val="left" w:pos="5040"/>
                <w:tab w:val="left" w:pos="5400"/>
              </w:tabs>
              <w:rPr>
                <w:rFonts w:eastAsia="Calibri"/>
                <w:u w:val="single"/>
                <w:lang w:val="zh-CN"/>
              </w:rPr>
            </w:pPr>
            <w:r>
              <w:rPr>
                <w:rFonts w:eastAsia="Calibri"/>
                <w:u w:val="single"/>
                <w:lang w:val="zh-CN"/>
              </w:rPr>
              <w:t>Teknik Penilaian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B7E4EC1">
            <w:pPr>
              <w:tabs>
                <w:tab w:val="left" w:pos="900"/>
                <w:tab w:val="left" w:pos="5040"/>
                <w:tab w:val="left" w:pos="5400"/>
              </w:tabs>
              <w:rPr>
                <w:rFonts w:eastAsia="Calibri"/>
                <w:u w:val="single"/>
                <w:lang w:val="zh-CN"/>
              </w:rPr>
            </w:pPr>
            <w:r>
              <w:rPr>
                <w:rFonts w:eastAsia="Calibri"/>
                <w:u w:val="single"/>
                <w:lang w:val="zh-CN"/>
              </w:rPr>
              <w:t>Bobot</w:t>
            </w:r>
          </w:p>
        </w:tc>
      </w:tr>
      <w:tr w14:paraId="2073FDA8">
        <w:tblPrEx>
          <w:tblCellMar>
            <w:top w:w="0" w:type="dxa"/>
            <w:left w:w="0" w:type="dxa"/>
            <w:bottom w:w="0" w:type="dxa"/>
            <w:right w:w="0" w:type="dxa"/>
          </w:tblCellMar>
        </w:tblPrEx>
        <w:trPr>
          <w:trHeight w:val="239" w:hRule="atLeast"/>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E8394B2">
            <w:pPr>
              <w:tabs>
                <w:tab w:val="left" w:pos="900"/>
                <w:tab w:val="left" w:pos="5040"/>
                <w:tab w:val="left" w:pos="5400"/>
              </w:tabs>
              <w:rPr>
                <w:rFonts w:eastAsia="Calibri"/>
                <w:u w:val="single"/>
                <w:lang w:val="zh-CN"/>
              </w:rPr>
            </w:pPr>
            <w:r>
              <w:rPr>
                <w:rFonts w:eastAsia="Calibri"/>
                <w:u w:val="single"/>
                <w:lang w:val="zh-CN"/>
              </w:rPr>
              <w:t>Keaktifan/Partisipasi (Diskusi)</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8EC226B">
            <w:pPr>
              <w:tabs>
                <w:tab w:val="left" w:pos="900"/>
                <w:tab w:val="left" w:pos="5040"/>
                <w:tab w:val="left" w:pos="5400"/>
              </w:tabs>
              <w:rPr>
                <w:rFonts w:eastAsia="Calibri"/>
                <w:u w:val="single"/>
                <w:lang w:val="zh-CN"/>
              </w:rPr>
            </w:pPr>
            <w:r>
              <w:rPr>
                <w:rFonts w:eastAsia="Calibri"/>
                <w:u w:val="single"/>
                <w:lang w:val="zh-CN"/>
              </w:rPr>
              <w:t>Observasi &amp; Non-Tes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5F12DB9">
            <w:pPr>
              <w:tabs>
                <w:tab w:val="left" w:pos="900"/>
                <w:tab w:val="left" w:pos="5040"/>
                <w:tab w:val="left" w:pos="5400"/>
              </w:tabs>
              <w:rPr>
                <w:rFonts w:eastAsia="Calibri"/>
                <w:u w:val="single"/>
                <w:lang w:val="zh-CN"/>
              </w:rPr>
            </w:pPr>
            <w:r>
              <w:rPr>
                <w:rFonts w:eastAsia="Calibri"/>
                <w:u w:val="single"/>
                <w:lang w:val="zh-CN"/>
              </w:rPr>
              <w:t>15%</w:t>
            </w:r>
          </w:p>
        </w:tc>
      </w:tr>
      <w:tr w14:paraId="00168C4A">
        <w:tblPrEx>
          <w:tblCellMar>
            <w:top w:w="0" w:type="dxa"/>
            <w:left w:w="0" w:type="dxa"/>
            <w:bottom w:w="0" w:type="dxa"/>
            <w:right w:w="0" w:type="dxa"/>
          </w:tblCellMar>
        </w:tblPrEx>
        <w:trPr>
          <w:trHeight w:val="239" w:hRule="atLeast"/>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CD6DBA4">
            <w:pPr>
              <w:tabs>
                <w:tab w:val="left" w:pos="900"/>
                <w:tab w:val="left" w:pos="5040"/>
                <w:tab w:val="left" w:pos="5400"/>
              </w:tabs>
              <w:rPr>
                <w:rFonts w:eastAsia="Calibri"/>
                <w:u w:val="single"/>
                <w:lang w:val="zh-CN"/>
              </w:rPr>
            </w:pPr>
            <w:r>
              <w:rPr>
                <w:rFonts w:eastAsia="Calibri"/>
                <w:u w:val="single"/>
                <w:lang w:val="zh-CN"/>
              </w:rPr>
              <w:t>Tugas Mandiri/Terstruktur (Resume, Analisis Kasus)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9B4F299">
            <w:pPr>
              <w:tabs>
                <w:tab w:val="left" w:pos="900"/>
                <w:tab w:val="left" w:pos="5040"/>
                <w:tab w:val="left" w:pos="5400"/>
              </w:tabs>
              <w:rPr>
                <w:rFonts w:eastAsia="Calibri"/>
                <w:u w:val="single"/>
                <w:lang w:val="zh-CN"/>
              </w:rPr>
            </w:pPr>
            <w:r>
              <w:rPr>
                <w:rFonts w:eastAsia="Calibri"/>
                <w:u w:val="single"/>
                <w:lang w:val="zh-CN"/>
              </w:rPr>
              <w:t>Non-Tes (Laporan Tertulis)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DCBD77C">
            <w:pPr>
              <w:tabs>
                <w:tab w:val="left" w:pos="900"/>
                <w:tab w:val="left" w:pos="5040"/>
                <w:tab w:val="left" w:pos="5400"/>
              </w:tabs>
              <w:rPr>
                <w:rFonts w:eastAsia="Calibri"/>
                <w:u w:val="single"/>
                <w:lang w:val="zh-CN"/>
              </w:rPr>
            </w:pPr>
            <w:r>
              <w:rPr>
                <w:rFonts w:eastAsia="Calibri"/>
                <w:u w:val="single"/>
                <w:lang w:val="zh-CN"/>
              </w:rPr>
              <w:t>25%</w:t>
            </w:r>
          </w:p>
        </w:tc>
      </w:tr>
      <w:tr w14:paraId="103E2A2B">
        <w:tblPrEx>
          <w:tblCellMar>
            <w:top w:w="0" w:type="dxa"/>
            <w:left w:w="0" w:type="dxa"/>
            <w:bottom w:w="0" w:type="dxa"/>
            <w:right w:w="0" w:type="dxa"/>
          </w:tblCellMar>
        </w:tblPrEx>
        <w:trPr>
          <w:trHeight w:val="239" w:hRule="atLeast"/>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C1096FF">
            <w:pPr>
              <w:tabs>
                <w:tab w:val="left" w:pos="900"/>
                <w:tab w:val="left" w:pos="5040"/>
                <w:tab w:val="left" w:pos="5400"/>
              </w:tabs>
              <w:rPr>
                <w:rFonts w:eastAsia="Calibri"/>
                <w:u w:val="single"/>
                <w:lang w:val="zh-CN"/>
              </w:rPr>
            </w:pPr>
            <w:r>
              <w:rPr>
                <w:rFonts w:eastAsia="Calibri"/>
                <w:u w:val="single"/>
                <w:lang w:val="zh-CN"/>
              </w:rPr>
              <w:t>Ujian Tengah Semester (UTS)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37DA39C">
            <w:pPr>
              <w:tabs>
                <w:tab w:val="left" w:pos="900"/>
                <w:tab w:val="left" w:pos="5040"/>
                <w:tab w:val="left" w:pos="5400"/>
              </w:tabs>
              <w:rPr>
                <w:rFonts w:eastAsia="Calibri"/>
                <w:u w:val="single"/>
                <w:lang w:val="zh-CN"/>
              </w:rPr>
            </w:pPr>
            <w:r>
              <w:rPr>
                <w:rFonts w:eastAsia="Calibri"/>
                <w:u w:val="single"/>
                <w:lang w:val="zh-CN"/>
              </w:rPr>
              <w:t>Tes Tertulis (Esai Analisis)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5FA593C">
            <w:pPr>
              <w:tabs>
                <w:tab w:val="left" w:pos="900"/>
                <w:tab w:val="left" w:pos="5040"/>
                <w:tab w:val="left" w:pos="5400"/>
              </w:tabs>
              <w:rPr>
                <w:rFonts w:eastAsia="Calibri"/>
                <w:u w:val="single"/>
                <w:lang w:val="zh-CN"/>
              </w:rPr>
            </w:pPr>
            <w:r>
              <w:rPr>
                <w:rFonts w:eastAsia="Calibri"/>
                <w:u w:val="single"/>
                <w:lang w:val="zh-CN"/>
              </w:rPr>
              <w:t>30%</w:t>
            </w:r>
          </w:p>
        </w:tc>
      </w:tr>
      <w:tr w14:paraId="3A309199">
        <w:tblPrEx>
          <w:tblCellMar>
            <w:top w:w="0" w:type="dxa"/>
            <w:left w:w="0" w:type="dxa"/>
            <w:bottom w:w="0" w:type="dxa"/>
            <w:right w:w="0" w:type="dxa"/>
          </w:tblCellMar>
        </w:tblPrEx>
        <w:trPr>
          <w:trHeight w:val="239" w:hRule="atLeast"/>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BE45F28">
            <w:pPr>
              <w:tabs>
                <w:tab w:val="left" w:pos="900"/>
                <w:tab w:val="left" w:pos="5040"/>
                <w:tab w:val="left" w:pos="5400"/>
              </w:tabs>
              <w:rPr>
                <w:rFonts w:eastAsia="Calibri"/>
                <w:u w:val="single"/>
                <w:lang w:val="zh-CN"/>
              </w:rPr>
            </w:pPr>
            <w:r>
              <w:rPr>
                <w:rFonts w:eastAsia="Calibri"/>
                <w:u w:val="single"/>
                <w:lang w:val="zh-CN"/>
              </w:rPr>
              <w:t>Ujian Akhir Semester (UAS)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3234976">
            <w:pPr>
              <w:tabs>
                <w:tab w:val="left" w:pos="900"/>
                <w:tab w:val="left" w:pos="5040"/>
                <w:tab w:val="left" w:pos="5400"/>
              </w:tabs>
              <w:rPr>
                <w:rFonts w:eastAsia="Calibri"/>
                <w:u w:val="single"/>
                <w:lang w:val="zh-CN"/>
              </w:rPr>
            </w:pPr>
            <w:r>
              <w:rPr>
                <w:rFonts w:eastAsia="Calibri"/>
                <w:u w:val="single"/>
                <w:lang w:val="zh-CN"/>
              </w:rPr>
              <w:t>Tes Tertulis (Studi Kasus Terpadu)</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BC61C18">
            <w:pPr>
              <w:tabs>
                <w:tab w:val="left" w:pos="900"/>
                <w:tab w:val="left" w:pos="5040"/>
                <w:tab w:val="left" w:pos="5400"/>
              </w:tabs>
              <w:rPr>
                <w:rFonts w:eastAsia="Calibri"/>
                <w:u w:val="single"/>
                <w:lang w:val="zh-CN"/>
              </w:rPr>
            </w:pPr>
            <w:r>
              <w:rPr>
                <w:rFonts w:eastAsia="Calibri"/>
                <w:u w:val="single"/>
                <w:lang w:val="zh-CN"/>
              </w:rPr>
              <w:t>30%</w:t>
            </w:r>
          </w:p>
        </w:tc>
      </w:tr>
      <w:tr w14:paraId="387FBFAF">
        <w:tblPrEx>
          <w:tblCellMar>
            <w:top w:w="0" w:type="dxa"/>
            <w:left w:w="0" w:type="dxa"/>
            <w:bottom w:w="0" w:type="dxa"/>
            <w:right w:w="0" w:type="dxa"/>
          </w:tblCellMar>
        </w:tblPrEx>
        <w:trPr>
          <w:trHeight w:val="239" w:hRule="atLeast"/>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44E5BFE">
            <w:pPr>
              <w:tabs>
                <w:tab w:val="left" w:pos="900"/>
                <w:tab w:val="left" w:pos="5040"/>
                <w:tab w:val="left" w:pos="5400"/>
              </w:tabs>
              <w:rPr>
                <w:rFonts w:eastAsia="Calibri"/>
                <w:u w:val="single"/>
                <w:lang w:val="zh-CN"/>
              </w:rPr>
            </w:pPr>
            <w:r>
              <w:rPr>
                <w:rFonts w:eastAsia="Calibri"/>
                <w:u w:val="single"/>
                <w:lang w:val="zh-CN"/>
              </w:rPr>
              <w:t>TOTAL</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D2C0F10">
            <w:pPr>
              <w:tabs>
                <w:tab w:val="left" w:pos="900"/>
                <w:tab w:val="left" w:pos="5040"/>
                <w:tab w:val="left" w:pos="5400"/>
              </w:tabs>
              <w:rPr>
                <w:rFonts w:eastAsia="Calibri"/>
                <w:u w:val="single"/>
                <w:lang w:val="zh-CN"/>
              </w:rPr>
            </w:pP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E4AD951">
            <w:pPr>
              <w:tabs>
                <w:tab w:val="left" w:pos="900"/>
                <w:tab w:val="left" w:pos="5040"/>
                <w:tab w:val="left" w:pos="5400"/>
              </w:tabs>
              <w:rPr>
                <w:rFonts w:eastAsia="Calibri"/>
                <w:u w:val="single"/>
                <w:lang w:val="zh-CN"/>
              </w:rPr>
            </w:pPr>
            <w:r>
              <w:rPr>
                <w:rFonts w:eastAsia="Calibri"/>
                <w:u w:val="single"/>
                <w:lang w:val="zh-CN"/>
              </w:rPr>
              <w:t>100%</w:t>
            </w:r>
          </w:p>
        </w:tc>
      </w:tr>
    </w:tbl>
    <w:p w14:paraId="1255B4A1">
      <w:pPr>
        <w:tabs>
          <w:tab w:val="left" w:pos="900"/>
          <w:tab w:val="left" w:pos="5040"/>
          <w:tab w:val="left" w:pos="5400"/>
        </w:tabs>
        <w:rPr>
          <w:rFonts w:eastAsia="Calibri"/>
          <w:b/>
          <w:u w:val="single"/>
        </w:rPr>
      </w:pPr>
    </w:p>
    <w:p w14:paraId="53CF0FA6">
      <w:pPr>
        <w:tabs>
          <w:tab w:val="left" w:pos="900"/>
          <w:tab w:val="left" w:pos="5040"/>
          <w:tab w:val="left" w:pos="5400"/>
        </w:tabs>
        <w:rPr>
          <w:rFonts w:eastAsia="Calibri"/>
        </w:rPr>
      </w:pPr>
      <w:r>
        <w:rPr>
          <w:rFonts w:eastAsia="Calibri"/>
          <w:b/>
          <w:u w:val="single"/>
        </w:rPr>
        <w:t>Catatan</w:t>
      </w:r>
      <w:r>
        <w:rPr>
          <w:rFonts w:eastAsia="Calibri"/>
          <w:b/>
        </w:rPr>
        <w:t xml:space="preserve"> :</w:t>
      </w:r>
      <w:r>
        <w:rPr>
          <w:rFonts w:eastAsia="Calibri"/>
        </w:rPr>
        <w:t xml:space="preserve">   </w:t>
      </w:r>
    </w:p>
    <w:p w14:paraId="49982AF8">
      <w:pPr>
        <w:numPr>
          <w:ilvl w:val="0"/>
          <w:numId w:val="6"/>
        </w:numPr>
        <w:rPr>
          <w:rFonts w:eastAsia="Calibri"/>
          <w:sz w:val="22"/>
          <w:szCs w:val="22"/>
        </w:rPr>
      </w:pPr>
      <w:r>
        <w:rPr>
          <w:rFonts w:eastAsia="Calibri"/>
          <w:b/>
          <w:sz w:val="22"/>
          <w:szCs w:val="22"/>
        </w:rPr>
        <w:t>Capaian Pembelajaran Lulusan PRODI (CPL-PRODI)</w:t>
      </w:r>
      <w:r>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6DB559DC">
      <w:pPr>
        <w:numPr>
          <w:ilvl w:val="0"/>
          <w:numId w:val="6"/>
        </w:numPr>
        <w:ind w:left="709" w:hanging="425"/>
        <w:rPr>
          <w:rFonts w:eastAsia="Calibri"/>
          <w:sz w:val="22"/>
          <w:szCs w:val="22"/>
        </w:rPr>
      </w:pPr>
      <w:r>
        <w:rPr>
          <w:rFonts w:eastAsia="Calibri"/>
          <w:b/>
          <w:sz w:val="22"/>
          <w:szCs w:val="22"/>
        </w:rPr>
        <w:t>CPL yang dibebankan pada mata kuliah</w:t>
      </w:r>
      <w:r>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61455118">
      <w:pPr>
        <w:numPr>
          <w:ilvl w:val="0"/>
          <w:numId w:val="6"/>
        </w:numPr>
        <w:ind w:left="709" w:hanging="425"/>
        <w:rPr>
          <w:rFonts w:eastAsia="Calibri"/>
          <w:sz w:val="22"/>
          <w:szCs w:val="22"/>
        </w:rPr>
      </w:pPr>
      <w:r>
        <w:rPr>
          <w:rFonts w:eastAsia="Calibri"/>
          <w:b/>
          <w:sz w:val="22"/>
          <w:szCs w:val="22"/>
        </w:rPr>
        <w:t>CP Mata kuliah (CPMK)</w:t>
      </w:r>
      <w:r>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3B44EF71">
      <w:pPr>
        <w:numPr>
          <w:ilvl w:val="0"/>
          <w:numId w:val="6"/>
        </w:numPr>
        <w:ind w:left="709" w:hanging="425"/>
        <w:rPr>
          <w:rFonts w:eastAsia="Calibri"/>
          <w:sz w:val="22"/>
          <w:szCs w:val="22"/>
        </w:rPr>
      </w:pPr>
      <w:r>
        <w:rPr>
          <w:rFonts w:eastAsia="Calibri"/>
          <w:b/>
          <w:sz w:val="22"/>
          <w:szCs w:val="22"/>
        </w:rPr>
        <w:t>Sub-CP Mata kuliah (Sub-CPMK)</w:t>
      </w:r>
      <w:r>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5EA2A734">
      <w:pPr>
        <w:numPr>
          <w:ilvl w:val="0"/>
          <w:numId w:val="6"/>
        </w:numPr>
        <w:ind w:left="709" w:hanging="425"/>
        <w:rPr>
          <w:rFonts w:eastAsia="Calibri"/>
          <w:sz w:val="22"/>
          <w:szCs w:val="22"/>
        </w:rPr>
      </w:pPr>
      <w:r>
        <w:rPr>
          <w:rFonts w:eastAsia="Calibri"/>
          <w:b/>
          <w:sz w:val="22"/>
          <w:szCs w:val="22"/>
        </w:rPr>
        <w:t>Indikator penilaian</w:t>
      </w:r>
      <w:r>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20F557F9">
      <w:pPr>
        <w:numPr>
          <w:ilvl w:val="0"/>
          <w:numId w:val="6"/>
        </w:numPr>
        <w:ind w:left="709" w:hanging="425"/>
        <w:rPr>
          <w:rFonts w:eastAsia="Calibri"/>
          <w:sz w:val="22"/>
          <w:szCs w:val="22"/>
        </w:rPr>
      </w:pPr>
      <w:r>
        <w:rPr>
          <w:rFonts w:eastAsia="Calibri"/>
          <w:b/>
          <w:sz w:val="22"/>
          <w:szCs w:val="22"/>
        </w:rPr>
        <w:t>Kreteria Penilaian</w:t>
      </w:r>
      <w:r>
        <w:rPr>
          <w:rFonts w:eastAsia="Calibri"/>
          <w:sz w:val="22"/>
          <w:szCs w:val="22"/>
        </w:rPr>
        <w:t xml:space="preserve"> adalah patokan yang digunakan sebagai ukuran atau tolok ukur ketercapaian pembelajaran dalam penilaian berdasarkan indikator-indikator yang telah ditetapkan. </w:t>
      </w:r>
      <w:r>
        <w:rPr>
          <w:rFonts w:eastAsia="Calibri"/>
          <w:sz w:val="22"/>
          <w:szCs w:val="22"/>
          <w:lang w:val="sv-SE"/>
        </w:rPr>
        <w:t xml:space="preserve">Kreteria penilaian merupakan pedoman bagi penilai agar penilaian konsisten dan tidak bias. </w:t>
      </w:r>
      <w:r>
        <w:rPr>
          <w:rFonts w:eastAsia="Calibri"/>
          <w:sz w:val="22"/>
          <w:szCs w:val="22"/>
        </w:rPr>
        <w:t>Kreteria dapat berupa kuantitatif ataupun kualitatif.</w:t>
      </w:r>
    </w:p>
    <w:p w14:paraId="7F3CBC60">
      <w:pPr>
        <w:numPr>
          <w:ilvl w:val="0"/>
          <w:numId w:val="6"/>
        </w:numPr>
        <w:ind w:left="709" w:hanging="425"/>
        <w:rPr>
          <w:rFonts w:eastAsia="Calibri"/>
          <w:sz w:val="22"/>
          <w:szCs w:val="22"/>
        </w:rPr>
      </w:pPr>
      <w:r>
        <w:rPr>
          <w:rFonts w:eastAsia="Calibri"/>
          <w:b/>
          <w:sz w:val="22"/>
          <w:szCs w:val="22"/>
        </w:rPr>
        <w:t xml:space="preserve">Bentuk penilaian: </w:t>
      </w:r>
      <w:r>
        <w:rPr>
          <w:rFonts w:eastAsia="Calibri"/>
          <w:sz w:val="22"/>
          <w:szCs w:val="22"/>
        </w:rPr>
        <w:t>tes dan non-tes.</w:t>
      </w:r>
    </w:p>
    <w:p w14:paraId="5813B5AB">
      <w:pPr>
        <w:numPr>
          <w:ilvl w:val="0"/>
          <w:numId w:val="6"/>
        </w:numPr>
        <w:ind w:left="709" w:hanging="425"/>
        <w:rPr>
          <w:rFonts w:eastAsia="Calibri"/>
          <w:sz w:val="22"/>
          <w:szCs w:val="22"/>
          <w:lang w:val="sv-SE"/>
        </w:rPr>
      </w:pPr>
      <w:r>
        <w:rPr>
          <w:rFonts w:eastAsia="Calibri"/>
          <w:b/>
          <w:sz w:val="22"/>
          <w:szCs w:val="22"/>
          <w:lang w:val="sv-SE"/>
        </w:rPr>
        <w:t>Bentuk pembelajaran:</w:t>
      </w:r>
      <w:r>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072D58A3">
      <w:pPr>
        <w:numPr>
          <w:ilvl w:val="0"/>
          <w:numId w:val="6"/>
        </w:numPr>
        <w:ind w:left="709" w:hanging="425"/>
        <w:rPr>
          <w:rFonts w:eastAsia="Calibri"/>
          <w:sz w:val="22"/>
          <w:szCs w:val="22"/>
        </w:rPr>
      </w:pPr>
      <w:r>
        <w:rPr>
          <w:rFonts w:eastAsia="Calibri"/>
          <w:b/>
          <w:sz w:val="22"/>
          <w:szCs w:val="22"/>
        </w:rPr>
        <w:t>Metode Pembelajaran:</w:t>
      </w:r>
      <w:r>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71AE0DD3">
      <w:pPr>
        <w:numPr>
          <w:ilvl w:val="0"/>
          <w:numId w:val="6"/>
        </w:numPr>
        <w:ind w:left="709" w:hanging="425"/>
        <w:rPr>
          <w:rFonts w:eastAsia="Calibri"/>
          <w:sz w:val="22"/>
          <w:szCs w:val="22"/>
        </w:rPr>
      </w:pPr>
      <w:r>
        <w:rPr>
          <w:rFonts w:eastAsia="Calibri"/>
          <w:b/>
          <w:sz w:val="22"/>
          <w:szCs w:val="22"/>
        </w:rPr>
        <w:t xml:space="preserve">Materi Pembelajaran </w:t>
      </w:r>
      <w:r>
        <w:rPr>
          <w:rFonts w:eastAsia="Calibri"/>
          <w:sz w:val="22"/>
          <w:szCs w:val="22"/>
        </w:rPr>
        <w:t>adalah rincian atau uraian dari bahan kajian yg dapat disajikan dalam bentuk beberapa pokok dan sub-pokok bahasan.</w:t>
      </w:r>
    </w:p>
    <w:p w14:paraId="3D5542BA">
      <w:pPr>
        <w:numPr>
          <w:ilvl w:val="0"/>
          <w:numId w:val="6"/>
        </w:numPr>
        <w:ind w:left="709" w:hanging="425"/>
        <w:rPr>
          <w:rFonts w:eastAsia="Calibri"/>
          <w:sz w:val="22"/>
          <w:szCs w:val="22"/>
        </w:rPr>
      </w:pPr>
      <w:r>
        <w:rPr>
          <w:rFonts w:eastAsia="Calibri"/>
          <w:b/>
          <w:sz w:val="22"/>
          <w:szCs w:val="22"/>
        </w:rPr>
        <w:t>Bobot penilaian</w:t>
      </w:r>
      <w:r>
        <w:rPr>
          <w:rFonts w:eastAsia="Calibri"/>
          <w:sz w:val="22"/>
          <w:szCs w:val="22"/>
        </w:rPr>
        <w:t xml:space="preserve"> adalah prosentasi penilaian terhadap setiap pencapaian sub-CPMK yang besarnya proposional dengan tingkat kesulitan pencapaian sub-CPMK tsb., dan totalnya 100%.</w:t>
      </w:r>
    </w:p>
    <w:p w14:paraId="0AEDA2C7">
      <w:pPr>
        <w:numPr>
          <w:ilvl w:val="0"/>
          <w:numId w:val="6"/>
        </w:numPr>
        <w:ind w:left="709" w:hanging="425"/>
        <w:rPr>
          <w:rFonts w:eastAsia="Calibri"/>
          <w:sz w:val="22"/>
          <w:szCs w:val="22"/>
          <w:lang w:val="sv-SE"/>
        </w:rPr>
      </w:pPr>
      <w:r>
        <w:rPr>
          <w:rFonts w:eastAsia="Calibri"/>
          <w:sz w:val="22"/>
          <w:szCs w:val="22"/>
          <w:lang w:val="sv-SE"/>
        </w:rPr>
        <w:t>TM=Tatap Muka, PT=Penugasan terstruktur, BM=Belajar mandiri.</w:t>
      </w:r>
    </w:p>
    <w:p w14:paraId="598A7187">
      <w:pPr>
        <w:ind w:left="284"/>
        <w:rPr>
          <w:rFonts w:eastAsia="Calibri"/>
          <w:sz w:val="22"/>
          <w:szCs w:val="22"/>
          <w:lang w:val="sv-SE"/>
        </w:rPr>
      </w:pPr>
    </w:p>
    <w:p w14:paraId="2F321B97">
      <w:pPr>
        <w:rPr>
          <w:rFonts w:eastAsia="Calibri"/>
          <w:sz w:val="22"/>
          <w:szCs w:val="22"/>
          <w:lang w:val="sv-SE"/>
        </w:rPr>
      </w:pPr>
    </w:p>
    <w:p w14:paraId="305937A3"/>
    <w:sectPr>
      <w:pgSz w:w="15840" w:h="12240"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ndara">
    <w:panose1 w:val="020E0502030303020204"/>
    <w:charset w:val="00"/>
    <w:family w:val="swiss"/>
    <w:pitch w:val="default"/>
    <w:sig w:usb0="A00002EF" w:usb1="4000A44B" w:usb2="00000000" w:usb3="00000000" w:csb0="2000019F" w:csb1="00000000"/>
  </w:font>
  <w:font w:name="Segoe UI Symbol">
    <w:panose1 w:val="020B0502040204020203"/>
    <w:charset w:val="00"/>
    <w:family w:val="swiss"/>
    <w:pitch w:val="default"/>
    <w:sig w:usb0="800001E3" w:usb1="1200FFEF" w:usb2="00040000" w:usb3="04000000" w:csb0="00000001" w:csb1="40000000"/>
  </w:font>
  <w:font w:name="Trebuchet MS">
    <w:panose1 w:val="020B0603020202020204"/>
    <w:charset w:val="00"/>
    <w:family w:val="swiss"/>
    <w:pitch w:val="default"/>
    <w:sig w:usb0="00000687" w:usb1="00000000" w:usb2="00000000" w:usb3="00000000" w:csb0="2000009F" w:csb1="00000000"/>
  </w:font>
  <w:font w:name="MinionPro-Bold">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56FCB"/>
    <w:multiLevelType w:val="multilevel"/>
    <w:tmpl w:val="01D56FCB"/>
    <w:lvl w:ilvl="0" w:tentative="0">
      <w:start w:val="1"/>
      <w:numFmt w:val="decimal"/>
      <w:lvlText w:val="%1."/>
      <w:lvlJc w:val="left"/>
      <w:pPr>
        <w:ind w:left="643" w:hanging="360"/>
      </w:p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1">
    <w:nsid w:val="04902ED9"/>
    <w:multiLevelType w:val="multilevel"/>
    <w:tmpl w:val="04902E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37A646B"/>
    <w:multiLevelType w:val="multilevel"/>
    <w:tmpl w:val="137A646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3474ED"/>
    <w:multiLevelType w:val="multilevel"/>
    <w:tmpl w:val="373474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8F673ED"/>
    <w:multiLevelType w:val="multilevel"/>
    <w:tmpl w:val="38F673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2EE6AD5"/>
    <w:multiLevelType w:val="multilevel"/>
    <w:tmpl w:val="42EE6AD5"/>
    <w:lvl w:ilvl="0" w:tentative="0">
      <w:start w:val="1"/>
      <w:numFmt w:val="decimal"/>
      <w:lvlText w:val="%1."/>
      <w:lvlJc w:val="left"/>
      <w:pPr>
        <w:ind w:left="770" w:hanging="360"/>
      </w:pPr>
    </w:lvl>
    <w:lvl w:ilvl="1" w:tentative="0">
      <w:start w:val="0"/>
      <w:numFmt w:val="bullet"/>
      <w:lvlText w:val=""/>
      <w:lvlJc w:val="left"/>
      <w:pPr>
        <w:ind w:left="1490" w:hanging="360"/>
      </w:pPr>
      <w:rPr>
        <w:rFonts w:hint="default" w:ascii="Times New Roman" w:hAnsi="Times New Roman" w:eastAsia="Calibri" w:cs="Times New Roman"/>
      </w:rPr>
    </w:lvl>
    <w:lvl w:ilvl="2" w:tentative="0">
      <w:start w:val="1"/>
      <w:numFmt w:val="lowerRoman"/>
      <w:lvlText w:val="%3."/>
      <w:lvlJc w:val="right"/>
      <w:pPr>
        <w:ind w:left="2210" w:hanging="180"/>
      </w:pPr>
    </w:lvl>
    <w:lvl w:ilvl="3" w:tentative="0">
      <w:start w:val="1"/>
      <w:numFmt w:val="decimal"/>
      <w:lvlText w:val="%4."/>
      <w:lvlJc w:val="left"/>
      <w:pPr>
        <w:ind w:left="2930" w:hanging="360"/>
      </w:pPr>
    </w:lvl>
    <w:lvl w:ilvl="4" w:tentative="0">
      <w:start w:val="1"/>
      <w:numFmt w:val="lowerLetter"/>
      <w:lvlText w:val="%5."/>
      <w:lvlJc w:val="left"/>
      <w:pPr>
        <w:ind w:left="3650" w:hanging="360"/>
      </w:pPr>
    </w:lvl>
    <w:lvl w:ilvl="5" w:tentative="0">
      <w:start w:val="1"/>
      <w:numFmt w:val="lowerRoman"/>
      <w:lvlText w:val="%6."/>
      <w:lvlJc w:val="right"/>
      <w:pPr>
        <w:ind w:left="4370" w:hanging="180"/>
      </w:pPr>
    </w:lvl>
    <w:lvl w:ilvl="6" w:tentative="0">
      <w:start w:val="1"/>
      <w:numFmt w:val="decimal"/>
      <w:lvlText w:val="%7."/>
      <w:lvlJc w:val="left"/>
      <w:pPr>
        <w:ind w:left="5090" w:hanging="360"/>
      </w:pPr>
    </w:lvl>
    <w:lvl w:ilvl="7" w:tentative="0">
      <w:start w:val="1"/>
      <w:numFmt w:val="lowerLetter"/>
      <w:lvlText w:val="%8."/>
      <w:lvlJc w:val="left"/>
      <w:pPr>
        <w:ind w:left="5810" w:hanging="360"/>
      </w:pPr>
    </w:lvl>
    <w:lvl w:ilvl="8" w:tentative="0">
      <w:start w:val="1"/>
      <w:numFmt w:val="lowerRoman"/>
      <w:lvlText w:val="%9."/>
      <w:lvlJc w:val="right"/>
      <w:pPr>
        <w:ind w:left="6530" w:hanging="18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AA0"/>
    <w:rsid w:val="0005665E"/>
    <w:rsid w:val="00064348"/>
    <w:rsid w:val="00090EFF"/>
    <w:rsid w:val="000B2ADC"/>
    <w:rsid w:val="000D758B"/>
    <w:rsid w:val="000E2F84"/>
    <w:rsid w:val="00113EB3"/>
    <w:rsid w:val="00134CE3"/>
    <w:rsid w:val="0014226F"/>
    <w:rsid w:val="00153D34"/>
    <w:rsid w:val="00161F51"/>
    <w:rsid w:val="00173B7F"/>
    <w:rsid w:val="00192299"/>
    <w:rsid w:val="001C62EB"/>
    <w:rsid w:val="001F033D"/>
    <w:rsid w:val="0020173C"/>
    <w:rsid w:val="0023524B"/>
    <w:rsid w:val="00252645"/>
    <w:rsid w:val="00270A03"/>
    <w:rsid w:val="00291C75"/>
    <w:rsid w:val="002D277B"/>
    <w:rsid w:val="002F1E45"/>
    <w:rsid w:val="002F5DBA"/>
    <w:rsid w:val="003B67CC"/>
    <w:rsid w:val="003D6F2E"/>
    <w:rsid w:val="003F4F07"/>
    <w:rsid w:val="0040310B"/>
    <w:rsid w:val="00414127"/>
    <w:rsid w:val="004157A1"/>
    <w:rsid w:val="004562E9"/>
    <w:rsid w:val="00482A1D"/>
    <w:rsid w:val="004A445F"/>
    <w:rsid w:val="004C2F6A"/>
    <w:rsid w:val="004D3340"/>
    <w:rsid w:val="004F6AE0"/>
    <w:rsid w:val="0054565B"/>
    <w:rsid w:val="005545AD"/>
    <w:rsid w:val="00557604"/>
    <w:rsid w:val="0056284D"/>
    <w:rsid w:val="005F4F7F"/>
    <w:rsid w:val="00616498"/>
    <w:rsid w:val="00633CAA"/>
    <w:rsid w:val="00645DE5"/>
    <w:rsid w:val="00656E88"/>
    <w:rsid w:val="00680758"/>
    <w:rsid w:val="0068545F"/>
    <w:rsid w:val="006A3AC1"/>
    <w:rsid w:val="006C16F3"/>
    <w:rsid w:val="006D0D83"/>
    <w:rsid w:val="006D5496"/>
    <w:rsid w:val="006E2841"/>
    <w:rsid w:val="007835C6"/>
    <w:rsid w:val="007A43A6"/>
    <w:rsid w:val="007B1037"/>
    <w:rsid w:val="007E77F9"/>
    <w:rsid w:val="00832136"/>
    <w:rsid w:val="00845600"/>
    <w:rsid w:val="00867161"/>
    <w:rsid w:val="008857DB"/>
    <w:rsid w:val="008B6B0F"/>
    <w:rsid w:val="00912D56"/>
    <w:rsid w:val="00915F3F"/>
    <w:rsid w:val="009452EF"/>
    <w:rsid w:val="00965AC7"/>
    <w:rsid w:val="00996BEA"/>
    <w:rsid w:val="009C0AAF"/>
    <w:rsid w:val="009C62D7"/>
    <w:rsid w:val="009E5990"/>
    <w:rsid w:val="009F0228"/>
    <w:rsid w:val="00A05959"/>
    <w:rsid w:val="00A22473"/>
    <w:rsid w:val="00A47935"/>
    <w:rsid w:val="00A778DF"/>
    <w:rsid w:val="00AE0CA2"/>
    <w:rsid w:val="00AF1892"/>
    <w:rsid w:val="00AF3249"/>
    <w:rsid w:val="00B33F0B"/>
    <w:rsid w:val="00B57BAD"/>
    <w:rsid w:val="00BF11ED"/>
    <w:rsid w:val="00C32637"/>
    <w:rsid w:val="00C355DA"/>
    <w:rsid w:val="00C37979"/>
    <w:rsid w:val="00C40846"/>
    <w:rsid w:val="00C66BEB"/>
    <w:rsid w:val="00C76B6F"/>
    <w:rsid w:val="00C86EA8"/>
    <w:rsid w:val="00CB78C4"/>
    <w:rsid w:val="00D00AD5"/>
    <w:rsid w:val="00D36AE2"/>
    <w:rsid w:val="00D53BB6"/>
    <w:rsid w:val="00DB7B62"/>
    <w:rsid w:val="00DD4538"/>
    <w:rsid w:val="00DE100F"/>
    <w:rsid w:val="00DE57E2"/>
    <w:rsid w:val="00E16CD1"/>
    <w:rsid w:val="00E213CB"/>
    <w:rsid w:val="00E33EE2"/>
    <w:rsid w:val="00E85D13"/>
    <w:rsid w:val="00EA27CB"/>
    <w:rsid w:val="00EC1410"/>
    <w:rsid w:val="00EC3065"/>
    <w:rsid w:val="00ED5228"/>
    <w:rsid w:val="00EE7F37"/>
    <w:rsid w:val="00F1354C"/>
    <w:rsid w:val="00F43DFB"/>
    <w:rsid w:val="00F566E2"/>
    <w:rsid w:val="00F77A01"/>
    <w:rsid w:val="00F87B25"/>
    <w:rsid w:val="00FA33B2"/>
    <w:rsid w:val="00FB03EF"/>
    <w:rsid w:val="00FB7271"/>
    <w:rsid w:val="00FC52FE"/>
    <w:rsid w:val="1FBB23F0"/>
    <w:rsid w:val="57C60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0"/>
      <w:szCs w:val="20"/>
      <w:lang w:val="en-US" w:eastAsia="en-US" w:bidi="ar-SA"/>
      <w14:ligatures w14:val="none"/>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37609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37609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376092" w:themeColor="accent1" w:themeShade="BF"/>
    </w:rPr>
  </w:style>
  <w:style w:type="paragraph" w:styleId="7">
    <w:name w:val="heading 6"/>
    <w:basedOn w:val="1"/>
    <w:next w:val="1"/>
    <w:link w:val="25"/>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qFormat/>
    <w:uiPriority w:val="20"/>
    <w:rPr>
      <w:i/>
      <w:iCs/>
    </w:rPr>
  </w:style>
  <w:style w:type="paragraph" w:styleId="14">
    <w:name w:val="footer"/>
    <w:basedOn w:val="1"/>
    <w:link w:val="39"/>
    <w:unhideWhenUsed/>
    <w:uiPriority w:val="99"/>
    <w:pPr>
      <w:tabs>
        <w:tab w:val="center" w:pos="4513"/>
        <w:tab w:val="right" w:pos="9026"/>
      </w:tabs>
    </w:pPr>
  </w:style>
  <w:style w:type="paragraph" w:styleId="15">
    <w:name w:val="header"/>
    <w:basedOn w:val="1"/>
    <w:link w:val="38"/>
    <w:unhideWhenUsed/>
    <w:uiPriority w:val="99"/>
    <w:pPr>
      <w:tabs>
        <w:tab w:val="center" w:pos="4513"/>
        <w:tab w:val="right" w:pos="9026"/>
      </w:tabs>
    </w:pPr>
  </w:style>
  <w:style w:type="character" w:styleId="16">
    <w:name w:val="Strong"/>
    <w:basedOn w:val="11"/>
    <w:qFormat/>
    <w:uiPriority w:val="22"/>
    <w:rPr>
      <w:b/>
      <w:bCs/>
    </w:rPr>
  </w:style>
  <w:style w:type="paragraph" w:styleId="17">
    <w:name w:val="Subtitle"/>
    <w:basedOn w:val="1"/>
    <w:next w:val="1"/>
    <w:link w:val="30"/>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uiPriority w:val="5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qFormat/>
    <w:uiPriority w:val="9"/>
    <w:rPr>
      <w:rFonts w:asciiTheme="majorHAnsi" w:hAnsiTheme="majorHAnsi" w:eastAsiaTheme="majorEastAsia" w:cstheme="majorBidi"/>
      <w:color w:val="376092" w:themeColor="accent1" w:themeShade="BF"/>
      <w:sz w:val="40"/>
      <w:szCs w:val="40"/>
      <w:lang w:val="id-ID"/>
    </w:rPr>
  </w:style>
  <w:style w:type="character" w:customStyle="1" w:styleId="21">
    <w:name w:val="Heading 2 Char"/>
    <w:basedOn w:val="11"/>
    <w:link w:val="3"/>
    <w:semiHidden/>
    <w:uiPriority w:val="9"/>
    <w:rPr>
      <w:rFonts w:asciiTheme="majorHAnsi" w:hAnsiTheme="majorHAnsi" w:eastAsiaTheme="majorEastAsia" w:cstheme="majorBidi"/>
      <w:color w:val="376092" w:themeColor="accent1" w:themeShade="BF"/>
      <w:sz w:val="32"/>
      <w:szCs w:val="32"/>
      <w:lang w:val="id-ID"/>
    </w:rPr>
  </w:style>
  <w:style w:type="character" w:customStyle="1" w:styleId="22">
    <w:name w:val="Heading 3 Char"/>
    <w:basedOn w:val="11"/>
    <w:link w:val="4"/>
    <w:semiHidden/>
    <w:uiPriority w:val="9"/>
    <w:rPr>
      <w:rFonts w:eastAsiaTheme="majorEastAsia" w:cstheme="majorBidi"/>
      <w:color w:val="376092" w:themeColor="accent1" w:themeShade="BF"/>
      <w:sz w:val="28"/>
      <w:szCs w:val="28"/>
      <w:lang w:val="id-ID"/>
    </w:rPr>
  </w:style>
  <w:style w:type="character" w:customStyle="1" w:styleId="23">
    <w:name w:val="Heading 4 Char"/>
    <w:basedOn w:val="11"/>
    <w:link w:val="5"/>
    <w:semiHidden/>
    <w:qFormat/>
    <w:uiPriority w:val="9"/>
    <w:rPr>
      <w:rFonts w:eastAsiaTheme="majorEastAsia" w:cstheme="majorBidi"/>
      <w:i/>
      <w:iCs/>
      <w:color w:val="376092" w:themeColor="accent1" w:themeShade="BF"/>
      <w:lang w:val="id-ID"/>
    </w:rPr>
  </w:style>
  <w:style w:type="character" w:customStyle="1" w:styleId="24">
    <w:name w:val="Heading 5 Char"/>
    <w:basedOn w:val="11"/>
    <w:link w:val="6"/>
    <w:semiHidden/>
    <w:uiPriority w:val="9"/>
    <w:rPr>
      <w:rFonts w:eastAsiaTheme="majorEastAsia" w:cstheme="majorBidi"/>
      <w:color w:val="376092" w:themeColor="accent1" w:themeShade="BF"/>
      <w:lang w:val="id-ID"/>
    </w:rPr>
  </w:style>
  <w:style w:type="character" w:customStyle="1" w:styleId="25">
    <w:name w:val="Heading 6 Char"/>
    <w:basedOn w:val="11"/>
    <w:link w:val="7"/>
    <w:semiHidden/>
    <w:uiPriority w:val="9"/>
    <w:rPr>
      <w:rFonts w:eastAsiaTheme="majorEastAsia" w:cstheme="majorBidi"/>
      <w:i/>
      <w:iCs/>
      <w:color w:val="595959" w:themeColor="text1" w:themeTint="A6"/>
      <w:lang w:val="id-ID"/>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lang w:val="id-ID"/>
      <w14:textFill>
        <w14:solidFill>
          <w14:schemeClr w14:val="tx1">
            <w14:lumMod w14:val="65000"/>
            <w14:lumOff w14:val="35000"/>
          </w14:schemeClr>
        </w14:solidFill>
      </w14:textFill>
    </w:rPr>
  </w:style>
  <w:style w:type="character" w:customStyle="1" w:styleId="27">
    <w:name w:val="Heading 8 Char"/>
    <w:basedOn w:val="11"/>
    <w:link w:val="9"/>
    <w:semiHidden/>
    <w:uiPriority w:val="9"/>
    <w:rPr>
      <w:rFonts w:eastAsiaTheme="majorEastAsia" w:cstheme="majorBidi"/>
      <w:i/>
      <w:iCs/>
      <w:color w:val="262626" w:themeColor="text1" w:themeTint="D9"/>
      <w:lang w:val="id-ID"/>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lang w:val="id-ID"/>
      <w14:textFill>
        <w14:solidFill>
          <w14:schemeClr w14:val="tx1">
            <w14:lumMod w14:val="85000"/>
            <w14:lumOff w14:val="15000"/>
          </w14:schemeClr>
        </w14:solidFill>
      </w14:textFill>
    </w:rPr>
  </w:style>
  <w:style w:type="character" w:customStyle="1" w:styleId="29">
    <w:name w:val="Title Char"/>
    <w:basedOn w:val="11"/>
    <w:link w:val="19"/>
    <w:uiPriority w:val="10"/>
    <w:rPr>
      <w:rFonts w:asciiTheme="majorHAnsi" w:hAnsiTheme="majorHAnsi" w:eastAsiaTheme="majorEastAsia" w:cstheme="majorBidi"/>
      <w:spacing w:val="-10"/>
      <w:kern w:val="28"/>
      <w:sz w:val="56"/>
      <w:szCs w:val="56"/>
      <w:lang w:val="id-ID"/>
    </w:rPr>
  </w:style>
  <w:style w:type="character" w:customStyle="1" w:styleId="30">
    <w:name w:val="Subtitle Char"/>
    <w:basedOn w:val="11"/>
    <w:link w:val="17"/>
    <w:uiPriority w:val="11"/>
    <w:rPr>
      <w:rFonts w:eastAsiaTheme="majorEastAsia" w:cstheme="majorBidi"/>
      <w:color w:val="595959" w:themeColor="text1" w:themeTint="A6"/>
      <w:spacing w:val="15"/>
      <w:sz w:val="28"/>
      <w:szCs w:val="28"/>
      <w:lang w:val="id-ID"/>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qFormat/>
    <w:uiPriority w:val="29"/>
    <w:rPr>
      <w:i/>
      <w:iCs/>
      <w:color w:val="404040" w:themeColor="text1" w:themeTint="BF"/>
      <w:lang w:val="id-ID"/>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376092" w:themeColor="accent1" w:themeShade="BF"/>
    </w:rPr>
  </w:style>
  <w:style w:type="paragraph" w:styleId="35">
    <w:name w:val="Intense Quote"/>
    <w:basedOn w:val="1"/>
    <w:next w:val="1"/>
    <w:link w:val="3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6">
    <w:name w:val="Intense Quote Char"/>
    <w:basedOn w:val="11"/>
    <w:link w:val="35"/>
    <w:uiPriority w:val="30"/>
    <w:rPr>
      <w:i/>
      <w:iCs/>
      <w:color w:val="376092" w:themeColor="accent1" w:themeShade="BF"/>
      <w:lang w:val="id-ID"/>
    </w:rPr>
  </w:style>
  <w:style w:type="character" w:customStyle="1" w:styleId="37">
    <w:name w:val="Intense Reference"/>
    <w:basedOn w:val="11"/>
    <w:qFormat/>
    <w:uiPriority w:val="32"/>
    <w:rPr>
      <w:b/>
      <w:bCs/>
      <w:smallCaps/>
      <w:color w:val="376092" w:themeColor="accent1" w:themeShade="BF"/>
      <w:spacing w:val="5"/>
    </w:rPr>
  </w:style>
  <w:style w:type="character" w:customStyle="1" w:styleId="38">
    <w:name w:val="Header Char"/>
    <w:basedOn w:val="11"/>
    <w:link w:val="15"/>
    <w:uiPriority w:val="99"/>
    <w:rPr>
      <w:rFonts w:ascii="Times New Roman" w:hAnsi="Times New Roman" w:eastAsia="Times New Roman" w:cs="Times New Roman"/>
      <w:kern w:val="0"/>
      <w:sz w:val="20"/>
      <w:szCs w:val="20"/>
      <w14:ligatures w14:val="none"/>
    </w:rPr>
  </w:style>
  <w:style w:type="character" w:customStyle="1" w:styleId="39">
    <w:name w:val="Footer Char"/>
    <w:basedOn w:val="11"/>
    <w:link w:val="14"/>
    <w:uiPriority w:val="99"/>
    <w:rPr>
      <w:rFonts w:ascii="Times New Roman" w:hAnsi="Times New Roman" w:eastAsia="Times New Roman" w:cs="Times New Roman"/>
      <w:kern w:val="0"/>
      <w:sz w:val="20"/>
      <w:szCs w:val="20"/>
      <w14:ligatures w14:val="none"/>
    </w:rPr>
  </w:style>
</w:styles>
</file>

<file path=word/_rels/document.xml.rels><?xml version="1.0" encoding="UTF-8" standalone="yes"?>
<Relationships xmlns="http://schemas.openxmlformats.org/package/2006/relationships"><Relationship Id="rId9" Type="http://schemas.microsoft.com/office/2007/relationships/hdphoto" Target="media/image4.wdp"/><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1038</Words>
  <Characters>7058</Characters>
  <Lines>88</Lines>
  <Paragraphs>24</Paragraphs>
  <TotalTime>0</TotalTime>
  <ScaleCrop>false</ScaleCrop>
  <LinksUpToDate>false</LinksUpToDate>
  <CharactersWithSpaces>7936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2025-11-05T02:49:00Z</dcterms:created>
  <dc:creator>INTEL</dc:creator>
  <cp:lastModifiedBy>HAFIZAH COMPUTER</cp:lastModifiedBy>
  <dcterms:modified xsi:type="dcterms:W3CDTF">2026-07-18T01:54:47Z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eyJoZGlkIjoiMjYyM2ZkN2M1MWE3NjdkMjlmNDIwZWJiYzVmOGE2ZDAifQ==</vt:lpwstr>
  </property>
  <property fmtid="{D5CDD505-2E9C-101B-9397-08002B2CF9AE}" pid="3" name="KSOProductBuildVer">
    <vt:lpwstr>1033-12.1.0.26880</vt:lpwstr>
  </property>
  <property fmtid="{D5CDD505-2E9C-101B-9397-08002B2CF9AE}" pid="4" name="ICV">
    <vt:lpwstr>CAF3838E3948453A89DEFBEB689AAB50_12</vt:lpwstr>
  </property>
</Properties>
</file>